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A4216C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D4A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Suspensión Voluntaria de la T</w:t>
            </w:r>
            <w:r w:rsidR="000109DD" w:rsidRPr="000109DD">
              <w:rPr>
                <w:rFonts w:ascii="Arial" w:eastAsia="Times New Roman" w:hAnsi="Arial" w:cs="Arial"/>
                <w:lang w:eastAsia="es-MX"/>
              </w:rPr>
              <w:t>oma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109DD" w:rsidP="00A42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46DC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006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4216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A42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4216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BD19B2" w:rsidRPr="00537B88" w:rsidRDefault="00BD19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Suspender temporalmente de manera voluntaria el servicio de agua y su respectiva facturación.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Pr="00537B88" w:rsidRDefault="00732FA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2FAB">
              <w:rPr>
                <w:rFonts w:ascii="Arial" w:eastAsia="Times New Roman" w:hAnsi="Arial" w:cs="Arial"/>
                <w:color w:val="000000"/>
                <w:lang w:eastAsia="es-MX"/>
              </w:rPr>
              <w:t>Oficio de la Suspensión Voluntaria y 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BD19B2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A4216C">
              <w:rPr>
                <w:rFonts w:ascii="Arial" w:eastAsia="Times New Roman" w:hAnsi="Arial" w:cs="Arial"/>
                <w:color w:val="000000"/>
                <w:lang w:eastAsia="es-MX"/>
              </w:rPr>
              <w:t>421.31</w:t>
            </w:r>
          </w:p>
          <w:p w:rsidR="00A55114" w:rsidRPr="00537B88" w:rsidRDefault="00A55114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D1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853682" w:rsidP="0085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Año calendario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D4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E35E5">
        <w:trPr>
          <w:trHeight w:val="316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6E35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E35E5">
              <w:rPr>
                <w:rFonts w:ascii="Arial" w:eastAsia="Times New Roman" w:hAnsi="Arial" w:cs="Arial"/>
                <w:color w:val="000000"/>
                <w:lang w:eastAsia="es-MX"/>
              </w:rPr>
              <w:t>Solicitud de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E35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E35E5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E35E5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*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</w:t>
            </w:r>
            <w:r w:rsidR="00A20C83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además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se realizará la inspección del predio para verificar que este deshabitado.</w:t>
            </w:r>
            <w:r w:rsidR="00853682">
              <w:rPr>
                <w:rFonts w:ascii="Arial" w:eastAsia="Times New Roman" w:hAnsi="Arial" w:cs="Arial"/>
                <w:color w:val="000000"/>
                <w:lang w:eastAsia="es-MX"/>
              </w:rPr>
              <w:t xml:space="preserve"> Vigencia de año calendario, con renovación anual en los primeros 15 días del mes de enero.</w:t>
            </w:r>
          </w:p>
          <w:p w:rsidR="00C7514A" w:rsidRPr="00C7514A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Firmar el documento de Suspensión Voluntaria y r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ealizar el pago correspondiente en el área de cajas.</w:t>
            </w:r>
          </w:p>
          <w:p w:rsidR="00C7514A" w:rsidRPr="00537B88" w:rsidRDefault="006E35E5" w:rsidP="006E3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En caso de no acudir el propietario anexar Carta Poder</w:t>
            </w:r>
            <w:r w:rsidR="006F5D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simple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 identificación oficial del tramitante.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>l Ejercicio Fiscal del año 202</w:t>
            </w:r>
            <w:r w:rsidR="00A4216C">
              <w:rPr>
                <w:rFonts w:ascii="Arial" w:eastAsia="Times New Roman" w:hAnsi="Arial" w:cs="Arial"/>
                <w:lang w:eastAsia="es-MX"/>
              </w:rPr>
              <w:t>1</w:t>
            </w:r>
            <w:r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6E35E5">
              <w:rPr>
                <w:rFonts w:ascii="Arial" w:eastAsia="Times New Roman" w:hAnsi="Arial" w:cs="Arial"/>
                <w:lang w:eastAsia="es-MX"/>
              </w:rPr>
              <w:t xml:space="preserve">Artículo 14, </w:t>
            </w:r>
            <w:proofErr w:type="spellStart"/>
            <w:r w:rsidR="006E35E5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6E35E5">
              <w:rPr>
                <w:rFonts w:ascii="Arial" w:eastAsia="Times New Roman" w:hAnsi="Arial" w:cs="Arial"/>
                <w:lang w:eastAsia="es-MX"/>
              </w:rPr>
              <w:t>. X inciso c</w:t>
            </w:r>
          </w:p>
          <w:p w:rsidR="005220A4" w:rsidRDefault="00A4216C" w:rsidP="00A4216C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FA2275" w:rsidRPr="00537B88" w:rsidRDefault="00A4216C" w:rsidP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C7514A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6F5D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Artículo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107 y 108</w:t>
            </w:r>
          </w:p>
          <w:p w:rsidR="00E34F96" w:rsidRPr="00537B88" w:rsidRDefault="00A4216C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34F96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82" w:rsidRDefault="00853682" w:rsidP="00FC4368">
      <w:pPr>
        <w:spacing w:after="0" w:line="240" w:lineRule="auto"/>
      </w:pPr>
      <w:r>
        <w:separator/>
      </w:r>
    </w:p>
  </w:endnote>
  <w:end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2" w:rsidRDefault="0085368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4677799C" wp14:editId="70813B7F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82" w:rsidRDefault="00853682" w:rsidP="00FC4368">
      <w:pPr>
        <w:spacing w:after="0" w:line="240" w:lineRule="auto"/>
      </w:pPr>
      <w:r>
        <w:separator/>
      </w:r>
    </w:p>
  </w:footnote>
  <w:foot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2" w:rsidRDefault="0085368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38ABCF" wp14:editId="6923E35D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8DA2EA2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20D64559" wp14:editId="572F23A6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639C"/>
    <w:rsid w:val="000B1986"/>
    <w:rsid w:val="000D4AF6"/>
    <w:rsid w:val="000E1311"/>
    <w:rsid w:val="001168A2"/>
    <w:rsid w:val="001230E7"/>
    <w:rsid w:val="00161E19"/>
    <w:rsid w:val="00213074"/>
    <w:rsid w:val="002B27F1"/>
    <w:rsid w:val="003203AD"/>
    <w:rsid w:val="0033050C"/>
    <w:rsid w:val="00346DC1"/>
    <w:rsid w:val="003B1725"/>
    <w:rsid w:val="003C1B32"/>
    <w:rsid w:val="003E4055"/>
    <w:rsid w:val="00487254"/>
    <w:rsid w:val="005220A4"/>
    <w:rsid w:val="00537B88"/>
    <w:rsid w:val="005B69A2"/>
    <w:rsid w:val="005D3179"/>
    <w:rsid w:val="006321CE"/>
    <w:rsid w:val="006B0878"/>
    <w:rsid w:val="006E35E5"/>
    <w:rsid w:val="006F5D7E"/>
    <w:rsid w:val="00732FAB"/>
    <w:rsid w:val="00782823"/>
    <w:rsid w:val="00793B81"/>
    <w:rsid w:val="007A248E"/>
    <w:rsid w:val="007B5C5D"/>
    <w:rsid w:val="00853682"/>
    <w:rsid w:val="00925365"/>
    <w:rsid w:val="00936183"/>
    <w:rsid w:val="00A10FD9"/>
    <w:rsid w:val="00A20C83"/>
    <w:rsid w:val="00A36D2A"/>
    <w:rsid w:val="00A4216C"/>
    <w:rsid w:val="00A55114"/>
    <w:rsid w:val="00AF582A"/>
    <w:rsid w:val="00B31054"/>
    <w:rsid w:val="00B3695A"/>
    <w:rsid w:val="00BD19B2"/>
    <w:rsid w:val="00BE0DCD"/>
    <w:rsid w:val="00C6697C"/>
    <w:rsid w:val="00C7514A"/>
    <w:rsid w:val="00C93792"/>
    <w:rsid w:val="00D2411F"/>
    <w:rsid w:val="00D80F11"/>
    <w:rsid w:val="00DA23EE"/>
    <w:rsid w:val="00DE73DD"/>
    <w:rsid w:val="00E34F96"/>
    <w:rsid w:val="00EB7E89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B428-7F05-4DFC-A27D-DF069CE5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39</cp:revision>
  <cp:lastPrinted>2018-12-31T16:09:00Z</cp:lastPrinted>
  <dcterms:created xsi:type="dcterms:W3CDTF">2018-02-19T14:49:00Z</dcterms:created>
  <dcterms:modified xsi:type="dcterms:W3CDTF">2021-01-29T20:32:00Z</dcterms:modified>
</cp:coreProperties>
</file>