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6253" w14:textId="77777777" w:rsidR="00503A80" w:rsidRPr="00503A80" w:rsidRDefault="00503A80" w:rsidP="00503A80">
      <w:pPr>
        <w:jc w:val="both"/>
        <w:rPr>
          <w:rFonts w:ascii="Arial" w:hAnsi="Arial" w:cs="Arial"/>
        </w:rPr>
      </w:pPr>
      <w:r w:rsidRPr="00503A80">
        <w:rPr>
          <w:rFonts w:ascii="Arial" w:hAnsi="Arial" w:cs="Arial"/>
        </w:rPr>
        <w:t>XXXIX. Las actas y resoluciones del Comité de Transparencia de los sujetos obligados</w:t>
      </w:r>
    </w:p>
    <w:p w14:paraId="130F6F87" w14:textId="77777777" w:rsidR="00503A80" w:rsidRPr="00503A80" w:rsidRDefault="00503A80" w:rsidP="00503A80">
      <w:pPr>
        <w:jc w:val="both"/>
        <w:rPr>
          <w:rFonts w:ascii="Arial" w:hAnsi="Arial" w:cs="Arial"/>
        </w:rPr>
      </w:pPr>
    </w:p>
    <w:p w14:paraId="2B4BB550" w14:textId="77777777" w:rsidR="00503A80" w:rsidRPr="00503A80" w:rsidRDefault="00503A80" w:rsidP="00503A80">
      <w:pPr>
        <w:jc w:val="both"/>
        <w:rPr>
          <w:rFonts w:ascii="Arial" w:hAnsi="Arial" w:cs="Arial"/>
        </w:rPr>
      </w:pPr>
      <w:r w:rsidRPr="00503A80">
        <w:rPr>
          <w:rFonts w:ascii="Arial" w:hAnsi="Arial" w:cs="Arial"/>
        </w:rPr>
        <w:t xml:space="preserve"> En esta fracción se publicará información de las resoluciones del Comité de Transparencia, establecidas en el artículo 44 de la Ley General, las cuales darán cuenta de las funciones de ese organismo colegiado. Todos los sujetos obligados con excepción de los organismos o unidades referidas en el quinto párrafo del artículo 43 de la Ley estarán supeditados a la autoridad del Comité de Transparencia. El reporte de las resoluciones del Comité de Transparencia se presentará en cuatro formatos; el primero para dar cuenta de las determinaciones en materia de ampliación del plazo de respuesta a las solicitudes de acceso a la información, de clasificación de la información, declaración de inexistencia, o de incompetencia, así como para autorizar la ampliación del plazo de reserva de la información a que se refiere el artículo 101 tercer párrafo de la Ley General de Transparencia. Lo anterior, de conformidad con lo señalado en las fracciones II y VIII del artículo 44 de la Ley General. El segundo formato informará de las resoluciones y/o actas que emita el Comité de Transparencia para dar cumplimiento a las acciones y los procedimientos para asegurar la mayor eficacia en la gestión de las solicitudes en materia de acceso a la información; establecer políticas para facilitar el ejercicio del derecho de acceso a la información; promover la capacitación y actualización en materia de transparencia, acceso a la información, accesibilidad y protección de datos personales para todas las personas servidoras públicas del sujeto obligado, incluidas las personas integrantes adscritas a la Unidad de Transparencia y contendrá los reportes para la integración del informe anual que debe entregarse al órgano garante; lo señalado con antelación, de conformidad con las fracciones I, IV, V, VI y VIII del artículo 44 de la Ley General. </w:t>
      </w:r>
    </w:p>
    <w:p w14:paraId="12778985" w14:textId="77777777" w:rsidR="00503A80" w:rsidRPr="00503A80" w:rsidRDefault="00503A80" w:rsidP="00503A80">
      <w:pPr>
        <w:jc w:val="both"/>
        <w:rPr>
          <w:rFonts w:ascii="Arial" w:hAnsi="Arial" w:cs="Arial"/>
        </w:rPr>
      </w:pPr>
    </w:p>
    <w:p w14:paraId="0EE3636C" w14:textId="77777777" w:rsidR="00503A80" w:rsidRPr="00503A80" w:rsidRDefault="00503A80" w:rsidP="00503A80">
      <w:pPr>
        <w:jc w:val="both"/>
        <w:rPr>
          <w:rFonts w:ascii="Arial" w:hAnsi="Arial" w:cs="Arial"/>
        </w:rPr>
      </w:pPr>
      <w:r w:rsidRPr="00503A80">
        <w:rPr>
          <w:rFonts w:ascii="Arial" w:hAnsi="Arial" w:cs="Arial"/>
        </w:rPr>
        <w:t>El tercer formato tendrá los datos vigentes de la Presidenta o del Presidente y las demás personas integrantes del Comité de Transparencia; y en el cuarto formato se incluirá, durante el primer trimestre, el calendario de sesiones ordinarias que celebrará el Comité de Transparencia en todo el ejercicio, los hipervínculos a las actas de las sesiones que se han celebrado a lo largo del año se incluirán trimestralmente, asimismo, se publicará la información de las reuniones extraordinarias que, en su caso, se celebren cada trimestre.</w:t>
      </w:r>
    </w:p>
    <w:p w14:paraId="4469F13D" w14:textId="77777777" w:rsidR="00503A80" w:rsidRPr="00503A80" w:rsidRDefault="00503A80" w:rsidP="00503A80">
      <w:pPr>
        <w:jc w:val="both"/>
        <w:rPr>
          <w:rFonts w:ascii="Arial" w:hAnsi="Arial" w:cs="Arial"/>
        </w:rPr>
      </w:pPr>
    </w:p>
    <w:p w14:paraId="2F58842F" w14:textId="77777777" w:rsidR="00503A80" w:rsidRPr="00503A80" w:rsidRDefault="00503A80" w:rsidP="00503A80">
      <w:pPr>
        <w:rPr>
          <w:rFonts w:ascii="Arial" w:hAnsi="Arial" w:cs="Arial"/>
        </w:rPr>
      </w:pPr>
      <w:r w:rsidRPr="00503A80">
        <w:rPr>
          <w:rFonts w:ascii="Arial" w:hAnsi="Arial" w:cs="Arial"/>
        </w:rPr>
        <w:t>La información puede ser consultada en la siguiente página:</w:t>
      </w:r>
    </w:p>
    <w:p w14:paraId="71D3BC70" w14:textId="77777777" w:rsidR="00503A80" w:rsidRPr="00503A80" w:rsidRDefault="00503A80" w:rsidP="00503A80">
      <w:pPr>
        <w:rPr>
          <w:rFonts w:ascii="Arial" w:hAnsi="Arial" w:cs="Arial"/>
        </w:rPr>
      </w:pPr>
      <w:hyperlink r:id="rId6" w:history="1">
        <w:r w:rsidRPr="00503A80">
          <w:rPr>
            <w:rStyle w:val="Hipervnculo"/>
            <w:rFonts w:ascii="Arial" w:hAnsi="Arial" w:cs="Arial"/>
          </w:rPr>
          <w:t>https://portaltransparencia.irapuato.gob.mx/fraccion?fraccion=d67d8ab4f4c10bf22aa353e27879133c&amp;articulo=c4ca4238a0b923820dcc509a6f75849b</w:t>
        </w:r>
      </w:hyperlink>
    </w:p>
    <w:p w14:paraId="62F10BD2" w14:textId="77777777" w:rsidR="00503A80" w:rsidRPr="00503A80" w:rsidRDefault="00503A80" w:rsidP="00503A80">
      <w:pPr>
        <w:rPr>
          <w:rFonts w:ascii="Arial" w:hAnsi="Arial" w:cs="Arial"/>
        </w:rPr>
      </w:pPr>
    </w:p>
    <w:p w14:paraId="524FBA82" w14:textId="3F97D0E4" w:rsidR="000F6469" w:rsidRPr="00503A80" w:rsidRDefault="000F6469" w:rsidP="00503A80">
      <w:pPr>
        <w:rPr>
          <w:rFonts w:ascii="Arial" w:hAnsi="Arial" w:cs="Arial"/>
        </w:rPr>
      </w:pPr>
    </w:p>
    <w:sectPr w:rsidR="000F6469" w:rsidRPr="00503A80" w:rsidSect="000E7EA3">
      <w:headerReference w:type="default" r:id="rId7"/>
      <w:pgSz w:w="12240" w:h="15840"/>
      <w:pgMar w:top="2835" w:right="902"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1325" w14:textId="77777777" w:rsidR="00503A80" w:rsidRDefault="00503A80">
      <w:r>
        <w:separator/>
      </w:r>
    </w:p>
  </w:endnote>
  <w:endnote w:type="continuationSeparator" w:id="0">
    <w:p w14:paraId="3A8D8149" w14:textId="77777777" w:rsidR="00503A80" w:rsidRDefault="0050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2EEE" w14:textId="77777777" w:rsidR="00503A80" w:rsidRDefault="00503A80">
      <w:r>
        <w:separator/>
      </w:r>
    </w:p>
  </w:footnote>
  <w:footnote w:type="continuationSeparator" w:id="0">
    <w:p w14:paraId="75314D66" w14:textId="77777777" w:rsidR="00503A80" w:rsidRDefault="00503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05D6" w14:textId="77777777" w:rsidR="00725386" w:rsidRDefault="00503A80">
    <w:pPr>
      <w:pStyle w:val="Encabezado"/>
      <w:rPr>
        <w:noProof/>
        <w:lang w:eastAsia="es-MX"/>
      </w:rPr>
    </w:pPr>
    <w:r>
      <w:rPr>
        <w:noProof/>
      </w:rPr>
      <w:drawing>
        <wp:anchor distT="0" distB="0" distL="0" distR="0" simplePos="0" relativeHeight="251658240" behindDoc="1" locked="0" layoutInCell="1" allowOverlap="1" wp14:anchorId="17F3FB11" wp14:editId="05F3806A">
          <wp:simplePos x="0" y="0"/>
          <wp:positionH relativeFrom="column">
            <wp:posOffset>-742950</wp:posOffset>
          </wp:positionH>
          <wp:positionV relativeFrom="paragraph">
            <wp:posOffset>-438785</wp:posOffset>
          </wp:positionV>
          <wp:extent cx="7781925" cy="10070783"/>
          <wp:effectExtent l="0" t="0" r="0" b="6985"/>
          <wp:wrapNone/>
          <wp:docPr id="6" name="image1.jpg"/>
          <wp:cNvGraphicFramePr/>
          <a:graphic xmlns:a="http://schemas.openxmlformats.org/drawingml/2006/main">
            <a:graphicData uri="http://schemas.openxmlformats.org/drawingml/2006/picture">
              <pic:pic xmlns:pic="http://schemas.openxmlformats.org/drawingml/2006/picture">
                <pic:nvPicPr>
                  <pic:cNvPr id="1763457148" name="image1.jpg"/>
                  <pic:cNvPicPr/>
                </pic:nvPicPr>
                <pic:blipFill>
                  <a:blip r:embed="rId1"/>
                  <a:srcRect l="12" r="12"/>
                  <a:stretch>
                    <a:fillRect/>
                  </a:stretch>
                </pic:blipFill>
                <pic:spPr>
                  <a:xfrm>
                    <a:off x="0" y="0"/>
                    <a:ext cx="7781925" cy="10070783"/>
                  </a:xfrm>
                  <a:prstGeom prst="rect">
                    <a:avLst/>
                  </a:prstGeom>
                </pic:spPr>
              </pic:pic>
            </a:graphicData>
          </a:graphic>
        </wp:anchor>
      </w:drawing>
    </w:r>
  </w:p>
  <w:p w14:paraId="53A4B3E3" w14:textId="77777777" w:rsidR="00EB02F4" w:rsidRDefault="00EB02F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86"/>
    <w:rsid w:val="00023266"/>
    <w:rsid w:val="00036AED"/>
    <w:rsid w:val="000444B5"/>
    <w:rsid w:val="0005280C"/>
    <w:rsid w:val="000734A2"/>
    <w:rsid w:val="000A6F7C"/>
    <w:rsid w:val="000B0DDF"/>
    <w:rsid w:val="000C1885"/>
    <w:rsid w:val="000C78FC"/>
    <w:rsid w:val="000E480F"/>
    <w:rsid w:val="000E7EA3"/>
    <w:rsid w:val="000F6469"/>
    <w:rsid w:val="001051DB"/>
    <w:rsid w:val="00121776"/>
    <w:rsid w:val="00133CB4"/>
    <w:rsid w:val="001408D3"/>
    <w:rsid w:val="00143A93"/>
    <w:rsid w:val="0015793F"/>
    <w:rsid w:val="001929D2"/>
    <w:rsid w:val="001C1936"/>
    <w:rsid w:val="001E2190"/>
    <w:rsid w:val="001E2CCC"/>
    <w:rsid w:val="001E58C3"/>
    <w:rsid w:val="00205A0C"/>
    <w:rsid w:val="002110D8"/>
    <w:rsid w:val="0021262F"/>
    <w:rsid w:val="0022168B"/>
    <w:rsid w:val="002356AF"/>
    <w:rsid w:val="0024366C"/>
    <w:rsid w:val="002529D2"/>
    <w:rsid w:val="00276C33"/>
    <w:rsid w:val="00280B94"/>
    <w:rsid w:val="00281220"/>
    <w:rsid w:val="00283E50"/>
    <w:rsid w:val="00284886"/>
    <w:rsid w:val="00284B8A"/>
    <w:rsid w:val="0029112C"/>
    <w:rsid w:val="002A76AC"/>
    <w:rsid w:val="002B088B"/>
    <w:rsid w:val="002F3AB3"/>
    <w:rsid w:val="003058A8"/>
    <w:rsid w:val="00340634"/>
    <w:rsid w:val="003502CD"/>
    <w:rsid w:val="003677EF"/>
    <w:rsid w:val="0037628E"/>
    <w:rsid w:val="0038236A"/>
    <w:rsid w:val="003832F6"/>
    <w:rsid w:val="003B0309"/>
    <w:rsid w:val="003B0C8F"/>
    <w:rsid w:val="003B7C2E"/>
    <w:rsid w:val="003F750D"/>
    <w:rsid w:val="00406A44"/>
    <w:rsid w:val="004331A9"/>
    <w:rsid w:val="004514E1"/>
    <w:rsid w:val="004614DF"/>
    <w:rsid w:val="004977E7"/>
    <w:rsid w:val="004A743E"/>
    <w:rsid w:val="004E6884"/>
    <w:rsid w:val="00503A80"/>
    <w:rsid w:val="0052539A"/>
    <w:rsid w:val="00542730"/>
    <w:rsid w:val="00551000"/>
    <w:rsid w:val="00562858"/>
    <w:rsid w:val="00577A35"/>
    <w:rsid w:val="00586788"/>
    <w:rsid w:val="005C35D4"/>
    <w:rsid w:val="005C54AB"/>
    <w:rsid w:val="005D024B"/>
    <w:rsid w:val="005D55F6"/>
    <w:rsid w:val="00610DED"/>
    <w:rsid w:val="00611769"/>
    <w:rsid w:val="00622B85"/>
    <w:rsid w:val="00640631"/>
    <w:rsid w:val="00670EA5"/>
    <w:rsid w:val="0067164B"/>
    <w:rsid w:val="00692A6D"/>
    <w:rsid w:val="006944BA"/>
    <w:rsid w:val="006A0A3A"/>
    <w:rsid w:val="006D3FB5"/>
    <w:rsid w:val="006E204A"/>
    <w:rsid w:val="006E3EF1"/>
    <w:rsid w:val="006E5C67"/>
    <w:rsid w:val="0070445C"/>
    <w:rsid w:val="00725386"/>
    <w:rsid w:val="00730BF2"/>
    <w:rsid w:val="007375EE"/>
    <w:rsid w:val="00740B27"/>
    <w:rsid w:val="00751FE5"/>
    <w:rsid w:val="00752809"/>
    <w:rsid w:val="007631BB"/>
    <w:rsid w:val="00765B12"/>
    <w:rsid w:val="00772906"/>
    <w:rsid w:val="00785479"/>
    <w:rsid w:val="00797CC9"/>
    <w:rsid w:val="007A70C5"/>
    <w:rsid w:val="007A7370"/>
    <w:rsid w:val="007D519C"/>
    <w:rsid w:val="007F2190"/>
    <w:rsid w:val="007F43BF"/>
    <w:rsid w:val="00874AD7"/>
    <w:rsid w:val="008B04E3"/>
    <w:rsid w:val="008B40C7"/>
    <w:rsid w:val="008E28A1"/>
    <w:rsid w:val="008F5397"/>
    <w:rsid w:val="00922E1E"/>
    <w:rsid w:val="00935A44"/>
    <w:rsid w:val="00940A8B"/>
    <w:rsid w:val="009460A2"/>
    <w:rsid w:val="00947BE0"/>
    <w:rsid w:val="00994B0A"/>
    <w:rsid w:val="009C12AD"/>
    <w:rsid w:val="009C5B49"/>
    <w:rsid w:val="009C7346"/>
    <w:rsid w:val="009D78C8"/>
    <w:rsid w:val="009E7F86"/>
    <w:rsid w:val="00A0172A"/>
    <w:rsid w:val="00A26325"/>
    <w:rsid w:val="00A27EFF"/>
    <w:rsid w:val="00A37C65"/>
    <w:rsid w:val="00A616EE"/>
    <w:rsid w:val="00A63C55"/>
    <w:rsid w:val="00A901C8"/>
    <w:rsid w:val="00AA50B5"/>
    <w:rsid w:val="00AB694C"/>
    <w:rsid w:val="00AC35C6"/>
    <w:rsid w:val="00AD0FDA"/>
    <w:rsid w:val="00AD73E9"/>
    <w:rsid w:val="00B14395"/>
    <w:rsid w:val="00B44B71"/>
    <w:rsid w:val="00B457B2"/>
    <w:rsid w:val="00B4612C"/>
    <w:rsid w:val="00B90498"/>
    <w:rsid w:val="00BB6B6C"/>
    <w:rsid w:val="00BC38E4"/>
    <w:rsid w:val="00BC47A3"/>
    <w:rsid w:val="00BD1B66"/>
    <w:rsid w:val="00BD55B2"/>
    <w:rsid w:val="00BD6349"/>
    <w:rsid w:val="00BD7904"/>
    <w:rsid w:val="00C177DA"/>
    <w:rsid w:val="00C26FC8"/>
    <w:rsid w:val="00C818A5"/>
    <w:rsid w:val="00CA04D7"/>
    <w:rsid w:val="00CA3D7C"/>
    <w:rsid w:val="00CB672F"/>
    <w:rsid w:val="00CC7EE1"/>
    <w:rsid w:val="00CD5DE3"/>
    <w:rsid w:val="00CE1E47"/>
    <w:rsid w:val="00D014E6"/>
    <w:rsid w:val="00D21367"/>
    <w:rsid w:val="00D2618E"/>
    <w:rsid w:val="00D4302A"/>
    <w:rsid w:val="00D539B7"/>
    <w:rsid w:val="00D6502C"/>
    <w:rsid w:val="00D8287A"/>
    <w:rsid w:val="00D876E2"/>
    <w:rsid w:val="00D91925"/>
    <w:rsid w:val="00DD7821"/>
    <w:rsid w:val="00E1007F"/>
    <w:rsid w:val="00E246E8"/>
    <w:rsid w:val="00E4015D"/>
    <w:rsid w:val="00E51E84"/>
    <w:rsid w:val="00E55FF9"/>
    <w:rsid w:val="00E62AE7"/>
    <w:rsid w:val="00E670B4"/>
    <w:rsid w:val="00E917EF"/>
    <w:rsid w:val="00E92581"/>
    <w:rsid w:val="00E9717B"/>
    <w:rsid w:val="00EA1944"/>
    <w:rsid w:val="00EB02F4"/>
    <w:rsid w:val="00EC51DC"/>
    <w:rsid w:val="00ED0823"/>
    <w:rsid w:val="00EE3812"/>
    <w:rsid w:val="00F07BC4"/>
    <w:rsid w:val="00F37E94"/>
    <w:rsid w:val="00F47269"/>
    <w:rsid w:val="00FC6328"/>
    <w:rsid w:val="00FC66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C116"/>
  <w15:chartTrackingRefBased/>
  <w15:docId w15:val="{E4204FD1-F8CA-9643-84B2-50C1DF1D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5386"/>
    <w:pPr>
      <w:tabs>
        <w:tab w:val="center" w:pos="4419"/>
        <w:tab w:val="right" w:pos="8838"/>
      </w:tabs>
    </w:pPr>
  </w:style>
  <w:style w:type="character" w:customStyle="1" w:styleId="EncabezadoCar">
    <w:name w:val="Encabezado Car"/>
    <w:basedOn w:val="Fuentedeprrafopredeter"/>
    <w:link w:val="Encabezado"/>
    <w:uiPriority w:val="99"/>
    <w:rsid w:val="00725386"/>
  </w:style>
  <w:style w:type="paragraph" w:styleId="Piedepgina">
    <w:name w:val="footer"/>
    <w:basedOn w:val="Normal"/>
    <w:link w:val="PiedepginaCar"/>
    <w:uiPriority w:val="99"/>
    <w:unhideWhenUsed/>
    <w:rsid w:val="00725386"/>
    <w:pPr>
      <w:tabs>
        <w:tab w:val="center" w:pos="4419"/>
        <w:tab w:val="right" w:pos="8838"/>
      </w:tabs>
    </w:pPr>
  </w:style>
  <w:style w:type="character" w:customStyle="1" w:styleId="PiedepginaCar">
    <w:name w:val="Pie de página Car"/>
    <w:basedOn w:val="Fuentedeprrafopredeter"/>
    <w:link w:val="Piedepgina"/>
    <w:uiPriority w:val="99"/>
    <w:rsid w:val="00725386"/>
  </w:style>
  <w:style w:type="character" w:styleId="Hipervnculo">
    <w:name w:val="Hyperlink"/>
    <w:basedOn w:val="Fuentedeprrafopredeter"/>
    <w:uiPriority w:val="99"/>
    <w:unhideWhenUsed/>
    <w:rsid w:val="00503A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transparencia.irapuato.gob.mx/fraccion?fraccion=d67d8ab4f4c10bf22aa353e27879133c&amp;articulo=c4ca4238a0b923820dcc509a6f75849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Suriel Lara</dc:creator>
  <cp:lastModifiedBy>Japami Irapuato</cp:lastModifiedBy>
  <cp:revision>15</cp:revision>
  <dcterms:created xsi:type="dcterms:W3CDTF">2024-07-01T20:25:00Z</dcterms:created>
  <dcterms:modified xsi:type="dcterms:W3CDTF">2025-12-15T18:30:00Z</dcterms:modified>
</cp:coreProperties>
</file>