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F3BA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de acuerdo con oficio UAIP/1011/2017 del 13 de julio de 2017.</w:t>
      </w:r>
    </w:p>
    <w:p w14:paraId="52C7E822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A2137B7" w14:textId="77777777" w:rsidR="000B56C9" w:rsidRDefault="000B56C9" w:rsidP="000B56C9">
      <w:r>
        <w:t xml:space="preserve">                                                         </w:t>
      </w:r>
    </w:p>
    <w:p w14:paraId="47635FBE" w14:textId="77777777" w:rsidR="000B56C9" w:rsidRDefault="000B56C9" w:rsidP="000B56C9"/>
    <w:p w14:paraId="4A5CC3F4" w14:textId="444729E5" w:rsidR="000B56C9" w:rsidRDefault="000B56C9" w:rsidP="000B56C9">
      <w:pPr>
        <w:jc w:val="center"/>
      </w:pPr>
    </w:p>
    <w:p w14:paraId="63D64FDD" w14:textId="03D855AD" w:rsidR="000B56C9" w:rsidRDefault="00AF4707" w:rsidP="00AF4707">
      <w:pPr>
        <w:jc w:val="center"/>
      </w:pPr>
      <w:r w:rsidRPr="00AF4707">
        <w:drawing>
          <wp:inline distT="0" distB="0" distL="0" distR="0" wp14:anchorId="2077488A" wp14:editId="3C04164D">
            <wp:extent cx="2800350" cy="1323975"/>
            <wp:effectExtent l="0" t="0" r="0" b="9525"/>
            <wp:docPr id="886952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2C487" w14:textId="77777777" w:rsidR="000B56C9" w:rsidRDefault="000B56C9" w:rsidP="000B56C9"/>
    <w:p w14:paraId="5DFA3074" w14:textId="77777777" w:rsidR="000B56C9" w:rsidRDefault="000B56C9" w:rsidP="000B56C9">
      <w:pPr>
        <w:rPr>
          <w:noProof/>
          <w:lang w:eastAsia="es-MX"/>
        </w:rPr>
      </w:pPr>
    </w:p>
    <w:p w14:paraId="6221C1EF" w14:textId="0206B068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duarante el peridodo en días hábiles: </w:t>
      </w:r>
      <w:r w:rsidR="00AF4707">
        <w:rPr>
          <w:rFonts w:ascii="Arial Narrow" w:hAnsi="Arial Narrow"/>
          <w:b/>
          <w:bCs/>
          <w:noProof/>
          <w:sz w:val="22"/>
          <w:szCs w:val="22"/>
          <w:lang w:eastAsia="es-MX"/>
        </w:rPr>
        <w:t>2.9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días.</w:t>
      </w:r>
    </w:p>
    <w:p w14:paraId="4419C7F7" w14:textId="77777777" w:rsidR="000B56C9" w:rsidRPr="00DB5E59" w:rsidRDefault="000B56C9" w:rsidP="000B56C9">
      <w:pPr>
        <w:ind w:left="720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C1915EA" w14:textId="78BC58E5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tercer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periodo: </w:t>
      </w:r>
      <w:r w:rsidR="00AF4707">
        <w:rPr>
          <w:rFonts w:ascii="Arial Narrow" w:hAnsi="Arial Narrow"/>
          <w:b/>
          <w:bCs/>
          <w:noProof/>
          <w:sz w:val="22"/>
          <w:szCs w:val="22"/>
          <w:lang w:eastAsia="es-MX"/>
        </w:rPr>
        <w:t>1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(</w:t>
      </w:r>
      <w:r w:rsidR="00AF4707">
        <w:rPr>
          <w:rFonts w:ascii="Arial Narrow" w:hAnsi="Arial Narrow"/>
          <w:b/>
          <w:bCs/>
          <w:noProof/>
          <w:sz w:val="22"/>
          <w:szCs w:val="22"/>
          <w:lang w:eastAsia="es-MX"/>
        </w:rPr>
        <w:t>un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) recurso</w:t>
      </w:r>
    </w:p>
    <w:p w14:paraId="596A7AE9" w14:textId="77777777" w:rsidR="000B56C9" w:rsidRPr="00DB5E5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4FA32BB" w14:textId="77777777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¿Qué es lo que más solicita la ciudadania?</w:t>
      </w:r>
    </w:p>
    <w:p w14:paraId="6D7913F6" w14:textId="77777777" w:rsidR="000B56C9" w:rsidRPr="006B5636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Obra contratada*</w:t>
      </w:r>
    </w:p>
    <w:p w14:paraId="6436A89D" w14:textId="77777777" w:rsidR="000B56C9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Contratos</w:t>
      </w:r>
    </w:p>
    <w:p w14:paraId="1FEF77CA" w14:textId="590C7DCB" w:rsidR="000B56C9" w:rsidRDefault="00AF4707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Seguimiento de órdenes de trabajo</w:t>
      </w:r>
    </w:p>
    <w:p w14:paraId="40D33150" w14:textId="24380135" w:rsidR="000B56C9" w:rsidRDefault="00AF4707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Licencias y permisos</w:t>
      </w:r>
    </w:p>
    <w:p w14:paraId="0B2EC3AB" w14:textId="0D825516" w:rsidR="00AF4707" w:rsidRPr="00DB5E59" w:rsidRDefault="00AF4707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Despidos y finiquitos</w:t>
      </w:r>
    </w:p>
    <w:p w14:paraId="011794FF" w14:textId="77777777" w:rsidR="000B56C9" w:rsidRPr="00CF2661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00BBA054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ra pro activa cada trimestre</w:t>
      </w:r>
    </w:p>
    <w:p w14:paraId="39027801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EC29A43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AA4CA0A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EE7C956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D23AAB4" w14:textId="77777777" w:rsidR="000B56C9" w:rsidRPr="001B4000" w:rsidRDefault="000B56C9" w:rsidP="000B56C9">
      <w:pPr>
        <w:jc w:val="right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Unidad de Transparencia</w:t>
      </w:r>
    </w:p>
    <w:p w14:paraId="1C5899A7" w14:textId="77777777" w:rsidR="000B56C9" w:rsidRPr="00A15C1B" w:rsidRDefault="000B56C9" w:rsidP="000B56C9"/>
    <w:p w14:paraId="0E0B627B" w14:textId="77777777" w:rsidR="000B56C9" w:rsidRPr="00E45EB6" w:rsidRDefault="000B56C9" w:rsidP="000B56C9"/>
    <w:p w14:paraId="158ACB8D" w14:textId="5DF55CF5" w:rsidR="0037478A" w:rsidRPr="000B56C9" w:rsidRDefault="0037478A" w:rsidP="000B56C9"/>
    <w:sectPr w:rsidR="0037478A" w:rsidRPr="000B56C9" w:rsidSect="003279A3">
      <w:headerReference w:type="default" r:id="rId9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C9B7" w14:textId="77777777" w:rsidR="00967C12" w:rsidRDefault="00967C12">
      <w:r>
        <w:separator/>
      </w:r>
    </w:p>
  </w:endnote>
  <w:endnote w:type="continuationSeparator" w:id="0">
    <w:p w14:paraId="18358B64" w14:textId="77777777" w:rsidR="00967C12" w:rsidRDefault="0096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79A7" w14:textId="77777777" w:rsidR="00967C12" w:rsidRDefault="00967C12">
      <w:r>
        <w:separator/>
      </w:r>
    </w:p>
  </w:footnote>
  <w:footnote w:type="continuationSeparator" w:id="0">
    <w:p w14:paraId="593ECADE" w14:textId="77777777" w:rsidR="00967C12" w:rsidRDefault="0096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D84B" w14:textId="77777777" w:rsidR="00725386" w:rsidRDefault="00394BB7">
    <w:pPr>
      <w:pStyle w:val="Encabezado"/>
    </w:pPr>
    <w:r>
      <w:rPr>
        <w:noProof/>
        <w:lang w:eastAsia="es-MX"/>
      </w:rPr>
      <w:drawing>
        <wp:anchor distT="0" distB="0" distL="0" distR="0" simplePos="0" relativeHeight="251658240" behindDoc="1" locked="0" layoutInCell="1" allowOverlap="1" wp14:anchorId="30362CAA" wp14:editId="295C47BB">
          <wp:simplePos x="0" y="0"/>
          <wp:positionH relativeFrom="column">
            <wp:posOffset>-762000</wp:posOffset>
          </wp:positionH>
          <wp:positionV relativeFrom="paragraph">
            <wp:posOffset>-495935</wp:posOffset>
          </wp:positionV>
          <wp:extent cx="7800649" cy="10094595"/>
          <wp:effectExtent l="0" t="0" r="0" b="190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29692" name="image1.jpg"/>
                  <pic:cNvPicPr/>
                </pic:nvPicPr>
                <pic:blipFill>
                  <a:blip r:embed="rId1"/>
                  <a:srcRect t="1" b="1"/>
                  <a:stretch>
                    <a:fillRect/>
                  </a:stretch>
                </pic:blipFill>
                <pic:spPr>
                  <a:xfrm>
                    <a:off x="0" y="0"/>
                    <a:ext cx="7800649" cy="1009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EBA7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26214483" o:spid="_x0000_i1025" type="#_x0000_t75" style="width:191.25pt;height:189pt;visibility:visible;mso-wrap-style:square">
            <v:imagedata r:id="rId1" o:title=""/>
          </v:shape>
        </w:pict>
      </mc:Choice>
      <mc:Fallback>
        <w:drawing>
          <wp:inline distT="0" distB="0" distL="0" distR="0" wp14:anchorId="382C33DB">
            <wp:extent cx="2428875" cy="2400300"/>
            <wp:effectExtent l="0" t="0" r="0" b="0"/>
            <wp:docPr id="1426214483" name="Imagen 142621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61367">
    <w:abstractNumId w:val="1"/>
  </w:num>
  <w:num w:numId="2" w16cid:durableId="1978099706">
    <w:abstractNumId w:val="2"/>
  </w:num>
  <w:num w:numId="3" w16cid:durableId="56618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032EA"/>
    <w:rsid w:val="00026F28"/>
    <w:rsid w:val="00040CC7"/>
    <w:rsid w:val="000444B5"/>
    <w:rsid w:val="000734A2"/>
    <w:rsid w:val="00087C07"/>
    <w:rsid w:val="000A7DE1"/>
    <w:rsid w:val="000B0DDF"/>
    <w:rsid w:val="000B56C9"/>
    <w:rsid w:val="000C1885"/>
    <w:rsid w:val="000C78FC"/>
    <w:rsid w:val="000D0777"/>
    <w:rsid w:val="000D768F"/>
    <w:rsid w:val="00133CB4"/>
    <w:rsid w:val="001408D3"/>
    <w:rsid w:val="00147918"/>
    <w:rsid w:val="0021262F"/>
    <w:rsid w:val="00235B04"/>
    <w:rsid w:val="00276C33"/>
    <w:rsid w:val="00280B94"/>
    <w:rsid w:val="00281220"/>
    <w:rsid w:val="00284886"/>
    <w:rsid w:val="0029112C"/>
    <w:rsid w:val="002E58B1"/>
    <w:rsid w:val="0031118A"/>
    <w:rsid w:val="00326F7F"/>
    <w:rsid w:val="003279A3"/>
    <w:rsid w:val="003502CD"/>
    <w:rsid w:val="003677EF"/>
    <w:rsid w:val="0037478A"/>
    <w:rsid w:val="003877F9"/>
    <w:rsid w:val="00387DF8"/>
    <w:rsid w:val="00394BB7"/>
    <w:rsid w:val="003A25F9"/>
    <w:rsid w:val="003B0C8F"/>
    <w:rsid w:val="003B0F69"/>
    <w:rsid w:val="003B7C2E"/>
    <w:rsid w:val="00400FF8"/>
    <w:rsid w:val="00406A44"/>
    <w:rsid w:val="00411BA2"/>
    <w:rsid w:val="004614DF"/>
    <w:rsid w:val="00481622"/>
    <w:rsid w:val="004C489F"/>
    <w:rsid w:val="0051508B"/>
    <w:rsid w:val="00521823"/>
    <w:rsid w:val="0052539A"/>
    <w:rsid w:val="00562858"/>
    <w:rsid w:val="00571D86"/>
    <w:rsid w:val="00610DED"/>
    <w:rsid w:val="00622B85"/>
    <w:rsid w:val="00640631"/>
    <w:rsid w:val="006944BA"/>
    <w:rsid w:val="006A11E3"/>
    <w:rsid w:val="007218F3"/>
    <w:rsid w:val="00725386"/>
    <w:rsid w:val="00772906"/>
    <w:rsid w:val="00785479"/>
    <w:rsid w:val="00796270"/>
    <w:rsid w:val="007A7370"/>
    <w:rsid w:val="007D519C"/>
    <w:rsid w:val="007F2190"/>
    <w:rsid w:val="007F43BF"/>
    <w:rsid w:val="008B04E3"/>
    <w:rsid w:val="008B2B62"/>
    <w:rsid w:val="008B2E75"/>
    <w:rsid w:val="008D21FD"/>
    <w:rsid w:val="008F5397"/>
    <w:rsid w:val="00922E1E"/>
    <w:rsid w:val="00947BE0"/>
    <w:rsid w:val="00967C12"/>
    <w:rsid w:val="00982385"/>
    <w:rsid w:val="00994B0A"/>
    <w:rsid w:val="009C12AD"/>
    <w:rsid w:val="00A0172A"/>
    <w:rsid w:val="00A261F4"/>
    <w:rsid w:val="00A26325"/>
    <w:rsid w:val="00A37C65"/>
    <w:rsid w:val="00A63C55"/>
    <w:rsid w:val="00A901C8"/>
    <w:rsid w:val="00A97615"/>
    <w:rsid w:val="00AA5506"/>
    <w:rsid w:val="00AB694C"/>
    <w:rsid w:val="00AD0FDA"/>
    <w:rsid w:val="00AF4707"/>
    <w:rsid w:val="00B31921"/>
    <w:rsid w:val="00B6364E"/>
    <w:rsid w:val="00BA3FAE"/>
    <w:rsid w:val="00BB6B6C"/>
    <w:rsid w:val="00BB7F81"/>
    <w:rsid w:val="00BD55B2"/>
    <w:rsid w:val="00C708FE"/>
    <w:rsid w:val="00C74AA2"/>
    <w:rsid w:val="00CA04D7"/>
    <w:rsid w:val="00CB672F"/>
    <w:rsid w:val="00CC36B4"/>
    <w:rsid w:val="00CD5DE3"/>
    <w:rsid w:val="00D21367"/>
    <w:rsid w:val="00D62C27"/>
    <w:rsid w:val="00D6502C"/>
    <w:rsid w:val="00D65B73"/>
    <w:rsid w:val="00D876E2"/>
    <w:rsid w:val="00DD7821"/>
    <w:rsid w:val="00E246E8"/>
    <w:rsid w:val="00E917EF"/>
    <w:rsid w:val="00E92581"/>
    <w:rsid w:val="00EC3153"/>
    <w:rsid w:val="00EC345D"/>
    <w:rsid w:val="00ED0823"/>
    <w:rsid w:val="00EE1E4D"/>
    <w:rsid w:val="00EF39CC"/>
    <w:rsid w:val="00F05665"/>
    <w:rsid w:val="00F22894"/>
    <w:rsid w:val="00F31EFF"/>
    <w:rsid w:val="00F5727B"/>
    <w:rsid w:val="00F72FA9"/>
    <w:rsid w:val="00F92345"/>
    <w:rsid w:val="00FB17E9"/>
    <w:rsid w:val="00FB277D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58927C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Prrafodelista">
    <w:name w:val="List Paragraph"/>
    <w:basedOn w:val="Normal"/>
    <w:link w:val="PrrafodelistaCar"/>
    <w:uiPriority w:val="34"/>
    <w:qFormat/>
    <w:rsid w:val="00B319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319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4A4D-6E97-4B0B-8F24-0050DECD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26</cp:revision>
  <dcterms:created xsi:type="dcterms:W3CDTF">2024-09-11T15:42:00Z</dcterms:created>
  <dcterms:modified xsi:type="dcterms:W3CDTF">2025-01-24T17:56:00Z</dcterms:modified>
</cp:coreProperties>
</file>