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5739FB"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w:t>
      </w:r>
      <w:bookmarkStart w:id="0" w:name="_GoBack"/>
      <w:bookmarkEnd w:id="0"/>
      <w:r>
        <w:rPr>
          <w:rFonts w:ascii="Arial" w:hAnsi="Arial" w:cs="Arial"/>
          <w:sz w:val="20"/>
          <w:szCs w:val="20"/>
        </w:rPr>
        <w:t xml:space="preserve">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A890D28" w14:textId="77777777" w:rsidR="00E45A44" w:rsidRDefault="00E45A44" w:rsidP="00113C41">
      <w:pPr>
        <w:jc w:val="both"/>
        <w:rPr>
          <w:rFonts w:ascii="Arial" w:hAnsi="Arial" w:cs="Arial"/>
          <w:sz w:val="20"/>
          <w:szCs w:val="20"/>
          <w:u w:val="single"/>
        </w:rPr>
      </w:pP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15A3F2EB" w14:textId="533DA675"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w:t>
      </w:r>
      <w:r w:rsidR="00EC7131">
        <w:rPr>
          <w:rFonts w:ascii="Arial" w:hAnsi="Arial" w:cs="Arial"/>
          <w:sz w:val="20"/>
          <w:szCs w:val="20"/>
          <w:u w:val="single"/>
        </w:rPr>
        <w:t>e Jesús Ricardo Jaimes Ceballos, quien actualmente continúa en su puesto.</w:t>
      </w:r>
    </w:p>
    <w:p w14:paraId="7E37C304" w14:textId="62DA53B4" w:rsidR="0079714E" w:rsidRDefault="00EC7131" w:rsidP="00113C41">
      <w:pPr>
        <w:jc w:val="both"/>
        <w:rPr>
          <w:rFonts w:ascii="Arial" w:hAnsi="Arial" w:cs="Arial"/>
          <w:sz w:val="20"/>
          <w:szCs w:val="20"/>
          <w:u w:val="single"/>
        </w:rPr>
      </w:pPr>
      <w:r>
        <w:rPr>
          <w:rFonts w:ascii="Arial" w:hAnsi="Arial" w:cs="Arial"/>
          <w:sz w:val="20"/>
          <w:szCs w:val="20"/>
          <w:u w:val="single"/>
        </w:rPr>
        <w:t>El</w:t>
      </w:r>
      <w:r w:rsidR="0079714E">
        <w:rPr>
          <w:rFonts w:ascii="Arial" w:hAnsi="Arial" w:cs="Arial"/>
          <w:sz w:val="20"/>
          <w:szCs w:val="20"/>
          <w:u w:val="single"/>
        </w:rPr>
        <w:t xml:space="preserve"> Presidente del Consejo </w:t>
      </w:r>
      <w:r>
        <w:rPr>
          <w:rFonts w:ascii="Arial" w:hAnsi="Arial" w:cs="Arial"/>
          <w:sz w:val="20"/>
          <w:szCs w:val="20"/>
          <w:u w:val="single"/>
        </w:rPr>
        <w:t xml:space="preserve">es el CP Pedro Alamilla Soto quien </w:t>
      </w:r>
      <w:r w:rsidR="004A7CCE">
        <w:rPr>
          <w:rFonts w:ascii="Arial" w:hAnsi="Arial" w:cs="Arial"/>
          <w:sz w:val="20"/>
          <w:szCs w:val="20"/>
          <w:u w:val="single"/>
        </w:rPr>
        <w:t>fue designado en la Sesión Solemne celebrada el lunes 10 de diciembre del 2018</w:t>
      </w:r>
      <w:r>
        <w:rPr>
          <w:rFonts w:ascii="Arial" w:hAnsi="Arial" w:cs="Arial"/>
          <w:sz w:val="20"/>
          <w:szCs w:val="20"/>
          <w:u w:val="single"/>
        </w:rPr>
        <w:t xml:space="preserve"> y actualmente continúa en su puesto</w:t>
      </w:r>
      <w:r w:rsidR="0079714E">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Default="00113C41" w:rsidP="00113C41">
      <w:pPr>
        <w:spacing w:after="0" w:line="240" w:lineRule="auto"/>
        <w:jc w:val="both"/>
        <w:rPr>
          <w:rFonts w:cs="Calibri"/>
        </w:rPr>
      </w:pPr>
    </w:p>
    <w:p w14:paraId="29F40C81" w14:textId="77777777" w:rsidR="0075560D" w:rsidRPr="00E74967" w:rsidRDefault="0075560D"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54B87459"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8539CF">
        <w:rPr>
          <w:rFonts w:ascii="Arial" w:hAnsi="Arial" w:cs="Arial"/>
          <w:sz w:val="20"/>
          <w:szCs w:val="20"/>
          <w:u w:val="single"/>
        </w:rPr>
        <w:t xml:space="preserve"> 2021</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0740D148" w14:textId="2F35ED67" w:rsidR="00177124" w:rsidRDefault="000C509F" w:rsidP="00177124">
      <w:pPr>
        <w:spacing w:after="0" w:line="240" w:lineRule="auto"/>
        <w:ind w:firstLine="708"/>
        <w:jc w:val="both"/>
        <w:rPr>
          <w:rFonts w:cs="Calibri"/>
        </w:rPr>
      </w:pPr>
      <w:r>
        <w:rPr>
          <w:rFonts w:cs="Calibri"/>
        </w:rPr>
        <w:t xml:space="preserve">El </w:t>
      </w:r>
      <w:r w:rsidR="00341C2E">
        <w:rPr>
          <w:rFonts w:cs="Calibri"/>
        </w:rPr>
        <w:t>Organigrama del ejercicio 2021 es el siguiente:</w:t>
      </w:r>
    </w:p>
    <w:p w14:paraId="20148958" w14:textId="0108AFF8" w:rsidR="00C269A1" w:rsidRPr="00C269A1" w:rsidRDefault="00C269A1" w:rsidP="00C269A1">
      <w:pPr>
        <w:spacing w:after="0" w:line="240" w:lineRule="auto"/>
        <w:ind w:firstLine="708"/>
        <w:jc w:val="both"/>
        <w:rPr>
          <w:noProof/>
          <w:lang w:eastAsia="es-MX"/>
        </w:rPr>
      </w:pPr>
      <w:r w:rsidRPr="00C269A1">
        <w:rPr>
          <w:noProof/>
          <w:lang w:eastAsia="es-MX"/>
        </w:rPr>
        <w:lastRenderedPageBreak/>
        <w:drawing>
          <wp:inline distT="0" distB="0" distL="0" distR="0" wp14:anchorId="096EA0FB" wp14:editId="50A5BB21">
            <wp:extent cx="6151880" cy="800417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8004177"/>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A8152F5" w14:textId="477F8C25" w:rsidR="00113C41" w:rsidRPr="004558EA" w:rsidRDefault="002C0942" w:rsidP="00113C41">
      <w:pPr>
        <w:spacing w:after="0" w:line="240" w:lineRule="auto"/>
        <w:jc w:val="both"/>
        <w:rPr>
          <w:rFonts w:cs="Calibri"/>
          <w:u w:val="single"/>
        </w:rPr>
      </w:pPr>
      <w:r w:rsidRPr="004558EA">
        <w:rPr>
          <w:rFonts w:cs="Calibri"/>
          <w:u w:val="single"/>
        </w:rPr>
        <w:t>En el mes de junio 2021 se hizo una reclasificación al Activo No circulante, derivado de que se tenían registrados como activos, bienes que son de uso común, como redes de agua, redes de alcantarillado y medidores. Se aprobó en la Sesión de  Consejo No. 06/2021.</w:t>
      </w:r>
    </w:p>
    <w:p w14:paraId="0330457B" w14:textId="77777777" w:rsidR="002C0942" w:rsidRDefault="002C0942" w:rsidP="00113C41">
      <w:pPr>
        <w:spacing w:after="0" w:line="240" w:lineRule="auto"/>
        <w:jc w:val="both"/>
        <w:rPr>
          <w:rFonts w:cs="Calibri"/>
          <w:b/>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lastRenderedPageBreak/>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4B47FC7F" w14:textId="118D763D" w:rsidR="00113C41" w:rsidRDefault="001F5065" w:rsidP="00113C41">
      <w:pPr>
        <w:spacing w:after="0" w:line="240" w:lineRule="auto"/>
        <w:jc w:val="both"/>
        <w:rPr>
          <w:rFonts w:cs="Calibri"/>
        </w:rPr>
      </w:pPr>
      <w:r>
        <w:rPr>
          <w:rFonts w:cs="Calibri"/>
        </w:rPr>
        <w:t>En Enero 2020 se hizo un registro de ajuste por actualización de los porcentajes de depreciación, para dejarlos como se estableció en el Manual de Contabilidad Gubernamental del Organismo.</w:t>
      </w:r>
    </w:p>
    <w:p w14:paraId="1C36706A" w14:textId="77777777" w:rsidR="00963E4B" w:rsidRDefault="00963E4B" w:rsidP="00113C41">
      <w:pPr>
        <w:spacing w:after="0" w:line="240" w:lineRule="auto"/>
        <w:jc w:val="both"/>
        <w:rPr>
          <w:rFonts w:cs="Calibri"/>
        </w:rPr>
      </w:pP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79FA21F" w:rsidR="00113C41" w:rsidRPr="00327597" w:rsidRDefault="00963E4B" w:rsidP="00113C41">
      <w:pPr>
        <w:spacing w:after="0" w:line="240" w:lineRule="auto"/>
        <w:jc w:val="both"/>
        <w:rPr>
          <w:rFonts w:cs="Calibri"/>
          <w:u w:val="single"/>
        </w:rPr>
      </w:pPr>
      <w:r>
        <w:rPr>
          <w:rFonts w:cs="Calibri"/>
          <w:u w:val="single"/>
        </w:rPr>
        <w:t>En este ejercicio 202</w:t>
      </w:r>
      <w:r w:rsidR="002F6950">
        <w:rPr>
          <w:rFonts w:cs="Calibri"/>
          <w:u w:val="single"/>
        </w:rPr>
        <w:t>1</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440F14D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2F6950">
        <w:rPr>
          <w:rFonts w:ascii="Arial" w:hAnsi="Arial" w:cs="Arial"/>
          <w:sz w:val="20"/>
          <w:szCs w:val="20"/>
          <w:u w:val="single"/>
        </w:rPr>
        <w:t>to para el ejercicio fiscal 2021</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99A30D1" w:rsidR="00113C41" w:rsidRPr="00E93815" w:rsidRDefault="00200728" w:rsidP="00113C41">
      <w:pPr>
        <w:jc w:val="both"/>
        <w:rPr>
          <w:rFonts w:ascii="Arial" w:hAnsi="Arial" w:cs="Arial"/>
          <w:sz w:val="20"/>
          <w:szCs w:val="20"/>
          <w:u w:val="single"/>
        </w:rPr>
      </w:pPr>
      <w:r>
        <w:rPr>
          <w:rFonts w:ascii="Arial" w:hAnsi="Arial" w:cs="Arial"/>
          <w:sz w:val="20"/>
          <w:szCs w:val="20"/>
          <w:u w:val="single"/>
        </w:rPr>
        <w:t>Éstas medidas están plas</w:t>
      </w:r>
      <w:r w:rsidR="00963E4B">
        <w:rPr>
          <w:rFonts w:ascii="Arial" w:hAnsi="Arial" w:cs="Arial"/>
          <w:sz w:val="20"/>
          <w:szCs w:val="20"/>
          <w:u w:val="single"/>
        </w:rPr>
        <w:t>madas en el Plan de Trabajo 2018</w:t>
      </w:r>
      <w:r>
        <w:rPr>
          <w:rFonts w:ascii="Arial" w:hAnsi="Arial" w:cs="Arial"/>
          <w:sz w:val="20"/>
          <w:szCs w:val="20"/>
          <w:u w:val="single"/>
        </w:rPr>
        <w:t>-20</w:t>
      </w:r>
      <w:r w:rsidR="00963E4B">
        <w:rPr>
          <w:rFonts w:ascii="Arial" w:hAnsi="Arial" w:cs="Arial"/>
          <w:sz w:val="20"/>
          <w:szCs w:val="20"/>
          <w:u w:val="single"/>
        </w:rPr>
        <w:t>21</w:t>
      </w:r>
      <w:r>
        <w:rPr>
          <w:rFonts w:ascii="Arial" w:hAnsi="Arial" w:cs="Arial"/>
          <w:sz w:val="20"/>
          <w:szCs w:val="20"/>
          <w:u w:val="single"/>
        </w:rPr>
        <w:t xml:space="preserve">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2B1125DD" w14:textId="77777777" w:rsidR="00E85F29" w:rsidRDefault="00E85F29" w:rsidP="00113C41">
      <w:pPr>
        <w:spacing w:after="0" w:line="240" w:lineRule="auto"/>
        <w:jc w:val="both"/>
        <w:rPr>
          <w:rFonts w:cs="Calibri"/>
        </w:rPr>
      </w:pPr>
    </w:p>
    <w:p w14:paraId="4BE66813" w14:textId="77777777" w:rsidR="00E85F29" w:rsidRPr="00E74967" w:rsidRDefault="00E85F29" w:rsidP="00113C41">
      <w:pPr>
        <w:spacing w:after="0" w:line="240" w:lineRule="auto"/>
        <w:jc w:val="both"/>
        <w:rPr>
          <w:rFonts w:cs="Calibri"/>
        </w:rPr>
      </w:pP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79D5E" w14:textId="77777777" w:rsidR="005739FB" w:rsidRDefault="005739FB" w:rsidP="00E00323">
      <w:pPr>
        <w:spacing w:after="0" w:line="240" w:lineRule="auto"/>
      </w:pPr>
      <w:r>
        <w:separator/>
      </w:r>
    </w:p>
  </w:endnote>
  <w:endnote w:type="continuationSeparator" w:id="0">
    <w:p w14:paraId="73E214EE" w14:textId="77777777" w:rsidR="005739FB" w:rsidRDefault="005739F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E5A7" w14:textId="77777777" w:rsidR="005739FB" w:rsidRDefault="005739FB" w:rsidP="00E00323">
      <w:pPr>
        <w:spacing w:after="0" w:line="240" w:lineRule="auto"/>
      </w:pPr>
      <w:r>
        <w:separator/>
      </w:r>
    </w:p>
  </w:footnote>
  <w:footnote w:type="continuationSeparator" w:id="0">
    <w:p w14:paraId="2C73909B" w14:textId="77777777" w:rsidR="005739FB" w:rsidRDefault="005739F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7810"/>
    <w:rsid w:val="000C509F"/>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C0942"/>
    <w:rsid w:val="002E55BE"/>
    <w:rsid w:val="002F6950"/>
    <w:rsid w:val="00326CBE"/>
    <w:rsid w:val="00341C2E"/>
    <w:rsid w:val="003E2A4B"/>
    <w:rsid w:val="00432039"/>
    <w:rsid w:val="00435A87"/>
    <w:rsid w:val="004558EA"/>
    <w:rsid w:val="004A58C8"/>
    <w:rsid w:val="004A7CCE"/>
    <w:rsid w:val="005739FB"/>
    <w:rsid w:val="005D3E43"/>
    <w:rsid w:val="005E231E"/>
    <w:rsid w:val="00653C60"/>
    <w:rsid w:val="00657009"/>
    <w:rsid w:val="00681C79"/>
    <w:rsid w:val="00696716"/>
    <w:rsid w:val="006B29B3"/>
    <w:rsid w:val="006B4755"/>
    <w:rsid w:val="00721C27"/>
    <w:rsid w:val="0075560D"/>
    <w:rsid w:val="007610BC"/>
    <w:rsid w:val="007714AB"/>
    <w:rsid w:val="00781BFE"/>
    <w:rsid w:val="0079714E"/>
    <w:rsid w:val="007D1E76"/>
    <w:rsid w:val="0080442C"/>
    <w:rsid w:val="008539CF"/>
    <w:rsid w:val="0086459F"/>
    <w:rsid w:val="008739D8"/>
    <w:rsid w:val="008E076C"/>
    <w:rsid w:val="00901127"/>
    <w:rsid w:val="00962993"/>
    <w:rsid w:val="00963E4B"/>
    <w:rsid w:val="009B31D3"/>
    <w:rsid w:val="00A934B4"/>
    <w:rsid w:val="00AA41E5"/>
    <w:rsid w:val="00AA77B6"/>
    <w:rsid w:val="00AC30E8"/>
    <w:rsid w:val="00AE1F6A"/>
    <w:rsid w:val="00B76BB4"/>
    <w:rsid w:val="00B94D0D"/>
    <w:rsid w:val="00B951EB"/>
    <w:rsid w:val="00BC72A0"/>
    <w:rsid w:val="00C269A1"/>
    <w:rsid w:val="00C40F0A"/>
    <w:rsid w:val="00C50A5E"/>
    <w:rsid w:val="00C93347"/>
    <w:rsid w:val="00CA666E"/>
    <w:rsid w:val="00D13C44"/>
    <w:rsid w:val="00D429BE"/>
    <w:rsid w:val="00D975B1"/>
    <w:rsid w:val="00DA74F7"/>
    <w:rsid w:val="00E00323"/>
    <w:rsid w:val="00E04704"/>
    <w:rsid w:val="00E11224"/>
    <w:rsid w:val="00E45A44"/>
    <w:rsid w:val="00E74967"/>
    <w:rsid w:val="00E85F29"/>
    <w:rsid w:val="00EA7915"/>
    <w:rsid w:val="00EC7131"/>
    <w:rsid w:val="00ED1E4D"/>
    <w:rsid w:val="00F01428"/>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2856</Words>
  <Characters>15713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18532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10</cp:revision>
  <cp:lastPrinted>2022-01-24T15:25:00Z</cp:lastPrinted>
  <dcterms:created xsi:type="dcterms:W3CDTF">2021-02-17T21:21:00Z</dcterms:created>
  <dcterms:modified xsi:type="dcterms:W3CDTF">2022-01-24T15:25:00Z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