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157C7F"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23C4EE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8C5511">
              <w:rPr>
                <w:noProof/>
                <w:webHidden/>
              </w:rPr>
              <w:t>2</w:t>
            </w:r>
            <w:r w:rsidR="005F51CC">
              <w:rPr>
                <w:noProof/>
                <w:webHidden/>
              </w:rPr>
              <w:fldChar w:fldCharType="end"/>
            </w:r>
          </w:hyperlink>
        </w:p>
        <w:p w14:paraId="6A6756CA" w14:textId="3B3A56B5"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8C5511">
              <w:rPr>
                <w:noProof/>
                <w:webHidden/>
              </w:rPr>
              <w:t>3</w:t>
            </w:r>
            <w:r w:rsidR="005F51CC">
              <w:rPr>
                <w:noProof/>
                <w:webHidden/>
              </w:rPr>
              <w:fldChar w:fldCharType="end"/>
            </w:r>
          </w:hyperlink>
        </w:p>
        <w:p w14:paraId="19796F35" w14:textId="2429D10C"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8C5511">
              <w:rPr>
                <w:noProof/>
                <w:webHidden/>
              </w:rPr>
              <w:t>3</w:t>
            </w:r>
            <w:r w:rsidR="005F51CC">
              <w:rPr>
                <w:noProof/>
                <w:webHidden/>
              </w:rPr>
              <w:fldChar w:fldCharType="end"/>
            </w:r>
          </w:hyperlink>
        </w:p>
        <w:p w14:paraId="62AC0657" w14:textId="4D04F607"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8C5511">
              <w:rPr>
                <w:noProof/>
                <w:webHidden/>
              </w:rPr>
              <w:t>6</w:t>
            </w:r>
            <w:r w:rsidR="005F51CC">
              <w:rPr>
                <w:noProof/>
                <w:webHidden/>
              </w:rPr>
              <w:fldChar w:fldCharType="end"/>
            </w:r>
          </w:hyperlink>
        </w:p>
        <w:p w14:paraId="7C7C1962" w14:textId="2F5B8C68"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8C5511">
              <w:rPr>
                <w:noProof/>
                <w:webHidden/>
              </w:rPr>
              <w:t>7</w:t>
            </w:r>
            <w:r w:rsidR="005F51CC">
              <w:rPr>
                <w:noProof/>
                <w:webHidden/>
              </w:rPr>
              <w:fldChar w:fldCharType="end"/>
            </w:r>
          </w:hyperlink>
        </w:p>
        <w:p w14:paraId="3FE6C661" w14:textId="666F2196"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8C5511">
              <w:rPr>
                <w:noProof/>
                <w:webHidden/>
              </w:rPr>
              <w:t>8</w:t>
            </w:r>
            <w:r w:rsidR="005F51CC">
              <w:rPr>
                <w:noProof/>
                <w:webHidden/>
              </w:rPr>
              <w:fldChar w:fldCharType="end"/>
            </w:r>
          </w:hyperlink>
        </w:p>
        <w:p w14:paraId="135541CC" w14:textId="509CD22A"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8C5511">
              <w:rPr>
                <w:noProof/>
                <w:webHidden/>
              </w:rPr>
              <w:t>8</w:t>
            </w:r>
            <w:r w:rsidR="005F51CC">
              <w:rPr>
                <w:noProof/>
                <w:webHidden/>
              </w:rPr>
              <w:fldChar w:fldCharType="end"/>
            </w:r>
          </w:hyperlink>
        </w:p>
        <w:p w14:paraId="48C9D852" w14:textId="0C347B26"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8C5511">
              <w:rPr>
                <w:noProof/>
                <w:webHidden/>
              </w:rPr>
              <w:t>9</w:t>
            </w:r>
            <w:r w:rsidR="005F51CC">
              <w:rPr>
                <w:noProof/>
                <w:webHidden/>
              </w:rPr>
              <w:fldChar w:fldCharType="end"/>
            </w:r>
          </w:hyperlink>
        </w:p>
        <w:p w14:paraId="027C97E3" w14:textId="46434EC2"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8C5511">
              <w:rPr>
                <w:noProof/>
                <w:webHidden/>
              </w:rPr>
              <w:t>10</w:t>
            </w:r>
            <w:r w:rsidR="005F51CC">
              <w:rPr>
                <w:noProof/>
                <w:webHidden/>
              </w:rPr>
              <w:fldChar w:fldCharType="end"/>
            </w:r>
          </w:hyperlink>
        </w:p>
        <w:p w14:paraId="00DB87A1" w14:textId="3EB03BC6"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8C5511">
              <w:rPr>
                <w:noProof/>
                <w:webHidden/>
              </w:rPr>
              <w:t>10</w:t>
            </w:r>
            <w:r w:rsidR="005F51CC">
              <w:rPr>
                <w:noProof/>
                <w:webHidden/>
              </w:rPr>
              <w:fldChar w:fldCharType="end"/>
            </w:r>
          </w:hyperlink>
        </w:p>
        <w:p w14:paraId="00EEECC2" w14:textId="1F7F1B50"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8C5511">
              <w:rPr>
                <w:noProof/>
                <w:webHidden/>
              </w:rPr>
              <w:t>10</w:t>
            </w:r>
            <w:r w:rsidR="005F51CC">
              <w:rPr>
                <w:noProof/>
                <w:webHidden/>
              </w:rPr>
              <w:fldChar w:fldCharType="end"/>
            </w:r>
          </w:hyperlink>
        </w:p>
        <w:p w14:paraId="68FD7A9A" w14:textId="57923929"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8C5511">
              <w:rPr>
                <w:noProof/>
                <w:webHidden/>
              </w:rPr>
              <w:t>10</w:t>
            </w:r>
            <w:r w:rsidR="005F51CC">
              <w:rPr>
                <w:noProof/>
                <w:webHidden/>
              </w:rPr>
              <w:fldChar w:fldCharType="end"/>
            </w:r>
          </w:hyperlink>
        </w:p>
        <w:p w14:paraId="5F55527F" w14:textId="01F16A97"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8C5511">
              <w:rPr>
                <w:noProof/>
                <w:webHidden/>
              </w:rPr>
              <w:t>11</w:t>
            </w:r>
            <w:r w:rsidR="005F51CC">
              <w:rPr>
                <w:noProof/>
                <w:webHidden/>
              </w:rPr>
              <w:fldChar w:fldCharType="end"/>
            </w:r>
          </w:hyperlink>
        </w:p>
        <w:p w14:paraId="674ABB69" w14:textId="0DA287A4"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8C5511">
              <w:rPr>
                <w:noProof/>
                <w:webHidden/>
              </w:rPr>
              <w:t>11</w:t>
            </w:r>
            <w:r w:rsidR="005F51CC">
              <w:rPr>
                <w:noProof/>
                <w:webHidden/>
              </w:rPr>
              <w:fldChar w:fldCharType="end"/>
            </w:r>
          </w:hyperlink>
        </w:p>
        <w:p w14:paraId="39048CDA" w14:textId="6E533343"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8C5511">
              <w:rPr>
                <w:noProof/>
                <w:webHidden/>
              </w:rPr>
              <w:t>11</w:t>
            </w:r>
            <w:r w:rsidR="005F51CC">
              <w:rPr>
                <w:noProof/>
                <w:webHidden/>
              </w:rPr>
              <w:fldChar w:fldCharType="end"/>
            </w:r>
          </w:hyperlink>
        </w:p>
        <w:p w14:paraId="7E9C5BA3" w14:textId="722AEA63" w:rsidR="005F51CC" w:rsidRDefault="00157C7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8C5511">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4A56F8BB"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059105A3" w14:textId="77777777" w:rsidR="00C55AB0" w:rsidRDefault="00C55AB0" w:rsidP="00C55AB0">
      <w:pPr>
        <w:jc w:val="both"/>
        <w:rPr>
          <w:rFonts w:ascii="Arial" w:hAnsi="Arial" w:cs="Arial"/>
          <w:sz w:val="20"/>
          <w:szCs w:val="20"/>
          <w:u w:val="single"/>
        </w:rPr>
      </w:pPr>
      <w:r>
        <w:rPr>
          <w:rFonts w:ascii="Arial" w:hAnsi="Arial" w:cs="Arial"/>
          <w:sz w:val="20"/>
          <w:szCs w:val="20"/>
          <w:u w:val="single"/>
        </w:rPr>
        <w:lastRenderedPageBreak/>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450E4F0" w14:textId="77777777" w:rsidR="00C55AB0" w:rsidRDefault="00C55AB0" w:rsidP="00C55AB0">
      <w:pPr>
        <w:jc w:val="both"/>
        <w:rPr>
          <w:rFonts w:ascii="Arial" w:hAnsi="Arial" w:cs="Arial"/>
          <w:sz w:val="20"/>
          <w:szCs w:val="20"/>
          <w:u w:val="single"/>
        </w:rPr>
      </w:pPr>
      <w:r w:rsidRPr="001131FC">
        <w:rPr>
          <w:rFonts w:ascii="Arial" w:hAnsi="Arial" w:cs="Arial"/>
          <w:sz w:val="20"/>
          <w:szCs w:val="20"/>
          <w:u w:val="single"/>
        </w:rPr>
        <w:t>E</w:t>
      </w:r>
      <w:r>
        <w:rPr>
          <w:rFonts w:ascii="Arial" w:hAnsi="Arial" w:cs="Arial"/>
          <w:sz w:val="20"/>
          <w:szCs w:val="20"/>
          <w:u w:val="single"/>
        </w:rPr>
        <w:t>n el Estado de Actividades, e</w:t>
      </w:r>
      <w:r w:rsidRPr="001131FC">
        <w:rPr>
          <w:rFonts w:ascii="Arial" w:hAnsi="Arial" w:cs="Arial"/>
          <w:sz w:val="20"/>
          <w:szCs w:val="20"/>
          <w:u w:val="single"/>
        </w:rPr>
        <w:t>l Organismo</w:t>
      </w:r>
      <w:r>
        <w:rPr>
          <w:rFonts w:ascii="Arial" w:hAnsi="Arial" w:cs="Arial"/>
          <w:sz w:val="20"/>
          <w:szCs w:val="20"/>
          <w:u w:val="single"/>
        </w:rPr>
        <w:t xml:space="preserve"> cierra el ejercicio 2023 con un Desahorro de 27,609,336 debido al efecto del registro de la Inversión Pública no Capitalizable, la cual se compone de </w:t>
      </w:r>
      <w:r w:rsidRPr="001131FC">
        <w:rPr>
          <w:rFonts w:ascii="Arial" w:hAnsi="Arial" w:cs="Arial"/>
          <w:sz w:val="20"/>
          <w:szCs w:val="20"/>
          <w:u w:val="single"/>
        </w:rPr>
        <w:t xml:space="preserve">los finiquitos de </w:t>
      </w:r>
      <w:r>
        <w:rPr>
          <w:rFonts w:ascii="Arial" w:hAnsi="Arial" w:cs="Arial"/>
          <w:sz w:val="20"/>
          <w:szCs w:val="20"/>
          <w:u w:val="single"/>
        </w:rPr>
        <w:t xml:space="preserve">las </w:t>
      </w:r>
      <w:r w:rsidRPr="001131FC">
        <w:rPr>
          <w:rFonts w:ascii="Arial" w:hAnsi="Arial" w:cs="Arial"/>
          <w:sz w:val="20"/>
          <w:szCs w:val="20"/>
          <w:u w:val="single"/>
        </w:rPr>
        <w:t>obras del dominio público que durante el 2023 se registraron,</w:t>
      </w:r>
      <w:r>
        <w:rPr>
          <w:rFonts w:ascii="Arial" w:hAnsi="Arial" w:cs="Arial"/>
          <w:sz w:val="20"/>
          <w:szCs w:val="20"/>
          <w:u w:val="single"/>
        </w:rPr>
        <w:t xml:space="preserve"> tales</w:t>
      </w:r>
      <w:r w:rsidRPr="001131FC">
        <w:rPr>
          <w:rFonts w:ascii="Arial" w:hAnsi="Arial" w:cs="Arial"/>
          <w:sz w:val="20"/>
          <w:szCs w:val="20"/>
          <w:u w:val="single"/>
        </w:rPr>
        <w:t xml:space="preserve"> como Rehabilitación, Ampliación y Construcción de redes de agua y drenaje, actualización del </w:t>
      </w:r>
      <w:proofErr w:type="spellStart"/>
      <w:r w:rsidRPr="001131FC">
        <w:rPr>
          <w:rFonts w:ascii="Arial" w:hAnsi="Arial" w:cs="Arial"/>
          <w:sz w:val="20"/>
          <w:szCs w:val="20"/>
          <w:u w:val="single"/>
        </w:rPr>
        <w:t>catástro</w:t>
      </w:r>
      <w:proofErr w:type="spellEnd"/>
      <w:r w:rsidRPr="001131FC">
        <w:rPr>
          <w:rFonts w:ascii="Arial" w:hAnsi="Arial" w:cs="Arial"/>
          <w:sz w:val="20"/>
          <w:szCs w:val="20"/>
          <w:u w:val="single"/>
        </w:rPr>
        <w:t>, líneas de conducción</w:t>
      </w:r>
      <w:r>
        <w:rPr>
          <w:rFonts w:ascii="Arial" w:hAnsi="Arial" w:cs="Arial"/>
          <w:sz w:val="20"/>
          <w:szCs w:val="20"/>
          <w:u w:val="single"/>
        </w:rPr>
        <w:t xml:space="preserve"> y </w:t>
      </w:r>
      <w:r w:rsidRPr="001131FC">
        <w:rPr>
          <w:rFonts w:ascii="Arial" w:hAnsi="Arial" w:cs="Arial"/>
          <w:sz w:val="20"/>
          <w:szCs w:val="20"/>
          <w:u w:val="single"/>
        </w:rPr>
        <w:t>proyectos ejecutivos</w:t>
      </w:r>
      <w:r>
        <w:rPr>
          <w:rFonts w:ascii="Arial" w:hAnsi="Arial" w:cs="Arial"/>
          <w:sz w:val="20"/>
          <w:szCs w:val="20"/>
          <w:u w:val="single"/>
        </w:rPr>
        <w:t>.</w:t>
      </w:r>
    </w:p>
    <w:p w14:paraId="495C4962" w14:textId="450B546C" w:rsidR="00C55AB0" w:rsidRDefault="00C55AB0" w:rsidP="00C55AB0">
      <w:pPr>
        <w:jc w:val="both"/>
        <w:rPr>
          <w:rFonts w:ascii="Arial" w:hAnsi="Arial" w:cs="Arial"/>
          <w:sz w:val="20"/>
          <w:szCs w:val="20"/>
        </w:rPr>
      </w:pPr>
      <w:r>
        <w:rPr>
          <w:rFonts w:ascii="Arial" w:hAnsi="Arial" w:cs="Arial"/>
          <w:sz w:val="20"/>
          <w:szCs w:val="20"/>
        </w:rPr>
        <w:t>Al cierre del primer trimestre 2024, se tiene un Ahorro de $3,359,910 como se muestra en el Estado de Actividades al 31 de marzo.</w:t>
      </w:r>
    </w:p>
    <w:p w14:paraId="73FC193E" w14:textId="66785A94" w:rsidR="00B44D40" w:rsidRPr="00B44D40" w:rsidRDefault="00B44D40" w:rsidP="00B44D40">
      <w:pPr>
        <w:jc w:val="both"/>
        <w:rPr>
          <w:rFonts w:ascii="Arial" w:hAnsi="Arial" w:cs="Arial"/>
          <w:sz w:val="20"/>
          <w:szCs w:val="20"/>
        </w:rPr>
      </w:pPr>
      <w:r w:rsidRPr="00B44D40">
        <w:rPr>
          <w:rFonts w:ascii="Arial" w:hAnsi="Arial" w:cs="Arial"/>
          <w:sz w:val="20"/>
          <w:szCs w:val="20"/>
        </w:rPr>
        <w:t xml:space="preserve">Para éste segundo trimestre 2024 se tiene un Ahorro de $51,552,935.91 el cual se muestra en el Estado de Actividades al 30 de junio 2024. </w:t>
      </w:r>
    </w:p>
    <w:p w14:paraId="5EB27DF0" w14:textId="77777777" w:rsidR="00B44D40" w:rsidRDefault="00B44D40" w:rsidP="00C55AB0">
      <w:pPr>
        <w:jc w:val="both"/>
        <w:rPr>
          <w:rFonts w:ascii="Arial" w:hAnsi="Arial"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36AA1D94"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Pr>
          <w:rFonts w:ascii="Arial" w:hAnsi="Arial" w:cs="Arial"/>
          <w:sz w:val="20"/>
          <w:szCs w:val="20"/>
          <w:u w:val="single"/>
        </w:rPr>
        <w:t>nero a diciembre 2024</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9500C88"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lastRenderedPageBreak/>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4309428B" w:rsidR="00CB41C4" w:rsidRDefault="00C55AB0"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554AA7BC" wp14:editId="2C11BDF3">
            <wp:extent cx="6066768" cy="7572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18" cy="758504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117B3BB" w14:textId="77777777"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este ejercicio fiscal vamos a implementar el uso de un nuevo sistema contable gubernamental el cual está actualizado con la normatividad solicitada por el CONAC.</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4"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77777777" w:rsidR="006E1CD0" w:rsidRDefault="006E1CD0" w:rsidP="006E1CD0">
      <w:pPr>
        <w:jc w:val="both"/>
        <w:rPr>
          <w:rFonts w:ascii="Arial" w:hAnsi="Arial" w:cs="Arial"/>
          <w:sz w:val="20"/>
          <w:szCs w:val="20"/>
          <w:u w:val="single"/>
        </w:rPr>
      </w:pPr>
      <w:r>
        <w:rPr>
          <w:rFonts w:ascii="Arial" w:hAnsi="Arial" w:cs="Arial"/>
          <w:sz w:val="20"/>
          <w:szCs w:val="20"/>
          <w:u w:val="single"/>
        </w:rPr>
        <w:t>El nuevo sistema que se va a utilizar lleva el control de los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 xml:space="preserve">Cada fin de mes se hace la cancelación de saldos de cuentas que tengan como saldo final diferencias por centavos. En caso de partidas que se tienen en las conciliaciones bancarias se hace la depuración del monto después de tres meses.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77777777" w:rsidR="006E1CD0" w:rsidRDefault="006E1CD0" w:rsidP="006E1CD0">
      <w:pPr>
        <w:spacing w:after="0" w:line="240" w:lineRule="auto"/>
        <w:jc w:val="both"/>
        <w:rPr>
          <w:rFonts w:cs="Calibri"/>
        </w:rPr>
      </w:pPr>
      <w:r>
        <w:rPr>
          <w:rFonts w:ascii="Arial" w:hAnsi="Arial" w:cs="Arial"/>
          <w:sz w:val="20"/>
          <w:szCs w:val="20"/>
          <w:u w:val="single"/>
        </w:rPr>
        <w:t xml:space="preserve">Se tiene inversión con </w:t>
      </w:r>
      <w:proofErr w:type="spellStart"/>
      <w:r w:rsidRPr="00DB520B">
        <w:rPr>
          <w:rFonts w:ascii="Arial" w:hAnsi="Arial" w:cs="Arial"/>
          <w:sz w:val="20"/>
          <w:szCs w:val="20"/>
          <w:u w:val="single"/>
        </w:rPr>
        <w:t>Intercam</w:t>
      </w:r>
      <w:proofErr w:type="spellEnd"/>
      <w:r>
        <w:rPr>
          <w:rFonts w:ascii="Arial" w:hAnsi="Arial" w:cs="Arial"/>
          <w:sz w:val="20"/>
          <w:szCs w:val="20"/>
          <w:u w:val="single"/>
        </w:rPr>
        <w:t xml:space="preserve"> y también con algunos </w:t>
      </w:r>
      <w:r w:rsidRPr="00793F9E">
        <w:rPr>
          <w:rFonts w:ascii="Arial" w:hAnsi="Arial" w:cs="Arial"/>
          <w:sz w:val="20"/>
          <w:szCs w:val="20"/>
          <w:u w:val="single"/>
        </w:rPr>
        <w:t xml:space="preserve">bancos, </w:t>
      </w:r>
      <w:r>
        <w:rPr>
          <w:rFonts w:ascii="Arial" w:hAnsi="Arial" w:cs="Arial"/>
          <w:sz w:val="20"/>
          <w:szCs w:val="20"/>
          <w:u w:val="single"/>
        </w:rPr>
        <w:t xml:space="preserve">con los cuales se está </w:t>
      </w:r>
      <w:r w:rsidRPr="00793F9E">
        <w:rPr>
          <w:rFonts w:ascii="Arial" w:hAnsi="Arial" w:cs="Arial"/>
          <w:sz w:val="20"/>
          <w:szCs w:val="20"/>
          <w:u w:val="single"/>
        </w:rPr>
        <w:t xml:space="preserve">buscando </w:t>
      </w:r>
      <w:r>
        <w:rPr>
          <w:rFonts w:ascii="Arial" w:hAnsi="Arial" w:cs="Arial"/>
          <w:sz w:val="20"/>
          <w:szCs w:val="20"/>
          <w:u w:val="single"/>
        </w:rPr>
        <w:t xml:space="preserve">constantemente </w:t>
      </w:r>
      <w:r w:rsidRPr="00793F9E">
        <w:rPr>
          <w:rFonts w:ascii="Arial" w:hAnsi="Arial" w:cs="Arial"/>
          <w:sz w:val="20"/>
          <w:szCs w:val="20"/>
          <w:u w:val="single"/>
        </w:rPr>
        <w:t>la mejor tasa de rendimiento</w:t>
      </w:r>
      <w:r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lastRenderedPageBreak/>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Pr>
          <w:rFonts w:ascii="Arial" w:hAnsi="Arial" w:cs="Arial"/>
          <w:sz w:val="20"/>
          <w:szCs w:val="20"/>
          <w:u w:val="single"/>
        </w:rPr>
        <w:t>Informe de Disciplina Financiera correspondiente a la Cuenta Pública 2023, en el anexo 7 a se pueden ver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77777777" w:rsidR="006E1CD0" w:rsidRPr="00327597" w:rsidRDefault="006E1CD0" w:rsidP="006E1CD0">
      <w:pPr>
        <w:spacing w:after="0" w:line="240" w:lineRule="auto"/>
        <w:jc w:val="both"/>
        <w:rPr>
          <w:rFonts w:cs="Calibri"/>
          <w:u w:val="single"/>
        </w:rPr>
      </w:pPr>
      <w:r w:rsidRPr="00AA7DD0">
        <w:rPr>
          <w:rFonts w:cs="Calibri"/>
          <w:u w:val="single"/>
        </w:rPr>
        <w:t xml:space="preserve">En diciembre del 2023 la Calificadora </w:t>
      </w:r>
      <w:proofErr w:type="spellStart"/>
      <w:r w:rsidRPr="00AA7DD0">
        <w:rPr>
          <w:rFonts w:cs="Calibri"/>
          <w:u w:val="single"/>
        </w:rPr>
        <w:t>Moody´s</w:t>
      </w:r>
      <w:proofErr w:type="spellEnd"/>
      <w:r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77777777"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2024</w:t>
      </w:r>
    </w:p>
    <w:p w14:paraId="0A0CE7C2" w14:textId="77777777" w:rsidR="006E1CD0" w:rsidRDefault="006E1CD0" w:rsidP="006E1CD0">
      <w:pPr>
        <w:jc w:val="both"/>
        <w:rPr>
          <w:rFonts w:ascii="Arial" w:hAnsi="Arial" w:cs="Arial"/>
          <w:sz w:val="20"/>
          <w:szCs w:val="20"/>
          <w:u w:val="single"/>
        </w:rPr>
      </w:pPr>
      <w:r>
        <w:rPr>
          <w:rFonts w:ascii="Arial" w:hAnsi="Arial" w:cs="Arial"/>
          <w:sz w:val="20"/>
          <w:szCs w:val="20"/>
          <w:u w:val="single"/>
        </w:rPr>
        <w:lastRenderedPageBreak/>
        <w:t>-Políticas de Adquisiciones y Control Patrimonial 2024</w:t>
      </w:r>
    </w:p>
    <w:p w14:paraId="2C23B96C" w14:textId="77777777" w:rsidR="006E1CD0" w:rsidRDefault="006E1CD0" w:rsidP="006E1CD0">
      <w:pPr>
        <w:jc w:val="both"/>
        <w:rPr>
          <w:rFonts w:ascii="Arial" w:hAnsi="Arial" w:cs="Arial"/>
          <w:sz w:val="20"/>
          <w:szCs w:val="20"/>
          <w:u w:val="single"/>
        </w:rPr>
      </w:pPr>
      <w:r>
        <w:rPr>
          <w:rFonts w:ascii="Arial" w:hAnsi="Arial" w:cs="Arial"/>
          <w:sz w:val="20"/>
          <w:szCs w:val="20"/>
          <w:u w:val="single"/>
        </w:rPr>
        <w:t xml:space="preserve">-Políticas de Tecnologías de la Información 2024 </w:t>
      </w:r>
    </w:p>
    <w:p w14:paraId="718D23B2"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2024</w:t>
      </w:r>
    </w:p>
    <w:p w14:paraId="4E9F5E19"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2024</w:t>
      </w:r>
    </w:p>
    <w:p w14:paraId="52E9B76D"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-Políticas de Recursos Humanos 2024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160"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8C5511">
        <w:trPr>
          <w:trHeight w:val="204"/>
        </w:trPr>
        <w:tc>
          <w:tcPr>
            <w:tcW w:w="10460"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8C5511">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8C5511">
        <w:trPr>
          <w:trHeight w:val="204"/>
        </w:trPr>
        <w:tc>
          <w:tcPr>
            <w:tcW w:w="6910" w:type="dxa"/>
            <w:tcBorders>
              <w:top w:val="nil"/>
              <w:left w:val="nil"/>
              <w:bottom w:val="nil"/>
              <w:right w:val="nil"/>
            </w:tcBorders>
            <w:shd w:val="clear" w:color="auto" w:fill="auto"/>
            <w:noWrap/>
            <w:vAlign w:val="bottom"/>
            <w:hideMark/>
          </w:tcPr>
          <w:p w14:paraId="49C0810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8C5511">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81"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8C5511">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8C5511">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81"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hideMark/>
          </w:tcPr>
          <w:p w14:paraId="3439EE2A"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r>
      <w:tr w:rsidR="008C5511" w:rsidRPr="008C5511" w14:paraId="7FB3D73B" w14:textId="77777777" w:rsidTr="008C5511">
        <w:trPr>
          <w:trHeight w:val="204"/>
        </w:trPr>
        <w:tc>
          <w:tcPr>
            <w:tcW w:w="6910" w:type="dxa"/>
            <w:tcBorders>
              <w:top w:val="nil"/>
              <w:left w:val="nil"/>
              <w:bottom w:val="nil"/>
              <w:right w:val="nil"/>
            </w:tcBorders>
            <w:shd w:val="clear" w:color="auto" w:fill="auto"/>
            <w:noWrap/>
            <w:vAlign w:val="bottom"/>
            <w:hideMark/>
          </w:tcPr>
          <w:p w14:paraId="1CF7AAD2"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Director General</w:t>
            </w:r>
          </w:p>
        </w:tc>
        <w:tc>
          <w:tcPr>
            <w:tcW w:w="81" w:type="dxa"/>
            <w:tcBorders>
              <w:top w:val="nil"/>
              <w:left w:val="nil"/>
              <w:bottom w:val="nil"/>
              <w:right w:val="nil"/>
            </w:tcBorders>
            <w:shd w:val="clear" w:color="auto" w:fill="auto"/>
            <w:noWrap/>
            <w:vAlign w:val="bottom"/>
            <w:hideMark/>
          </w:tcPr>
          <w:p w14:paraId="64610AE9"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hideMark/>
          </w:tcPr>
          <w:p w14:paraId="79EC7790"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r>
      <w:tr w:rsidR="008C5511" w:rsidRPr="008C5511" w14:paraId="64A2EC83" w14:textId="77777777" w:rsidTr="008C5511">
        <w:trPr>
          <w:trHeight w:val="204"/>
        </w:trPr>
        <w:tc>
          <w:tcPr>
            <w:tcW w:w="6910" w:type="dxa"/>
            <w:tcBorders>
              <w:top w:val="nil"/>
              <w:left w:val="nil"/>
              <w:bottom w:val="nil"/>
              <w:right w:val="nil"/>
            </w:tcBorders>
            <w:shd w:val="clear" w:color="auto" w:fill="auto"/>
            <w:noWrap/>
            <w:vAlign w:val="bottom"/>
            <w:hideMark/>
          </w:tcPr>
          <w:p w14:paraId="3154DF7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José Lara Lona</w:t>
            </w:r>
          </w:p>
        </w:tc>
        <w:tc>
          <w:tcPr>
            <w:tcW w:w="81" w:type="dxa"/>
            <w:tcBorders>
              <w:top w:val="nil"/>
              <w:left w:val="nil"/>
              <w:bottom w:val="nil"/>
              <w:right w:val="nil"/>
            </w:tcBorders>
            <w:shd w:val="clear" w:color="auto" w:fill="auto"/>
            <w:noWrap/>
            <w:vAlign w:val="bottom"/>
            <w:hideMark/>
          </w:tcPr>
          <w:p w14:paraId="200D4A1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38DF61B7"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700" w:type="dxa"/>
            <w:tcBorders>
              <w:top w:val="nil"/>
              <w:left w:val="nil"/>
              <w:bottom w:val="nil"/>
              <w:right w:val="nil"/>
            </w:tcBorders>
            <w:shd w:val="clear" w:color="auto" w:fill="auto"/>
            <w:noWrap/>
            <w:vAlign w:val="bottom"/>
            <w:hideMark/>
          </w:tcPr>
          <w:p w14:paraId="6CB486C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8C5511">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8C5511">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8C5511">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81"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8C5511">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8C5511">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81"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8C5511">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bookmarkStart w:id="16" w:name="_GoBack"/>
            <w:bookmarkEnd w:id="16"/>
          </w:p>
        </w:tc>
        <w:tc>
          <w:tcPr>
            <w:tcW w:w="81"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8C5511">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81"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8C5511">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81"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EC6858">
      <w:pPr>
        <w:spacing w:after="0" w:line="240" w:lineRule="auto"/>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4A8B402" w:rsidR="0012405A" w:rsidRDefault="0012405A">
        <w:pPr>
          <w:pStyle w:val="Piedepgina"/>
          <w:jc w:val="right"/>
        </w:pPr>
        <w:r>
          <w:fldChar w:fldCharType="begin"/>
        </w:r>
        <w:r>
          <w:instrText>PAGE   \* MERGEFORMAT</w:instrText>
        </w:r>
        <w:r>
          <w:fldChar w:fldCharType="separate"/>
        </w:r>
        <w:r w:rsidR="00157C7F" w:rsidRPr="00157C7F">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651A4C4F" w14:textId="002AF710" w:rsidR="00A4610E" w:rsidRDefault="00A4610E" w:rsidP="00A4610E">
    <w:pPr>
      <w:pStyle w:val="Encabezado"/>
      <w:spacing w:after="0" w:line="240" w:lineRule="auto"/>
      <w:jc w:val="center"/>
    </w:pPr>
    <w:r w:rsidRPr="00A4610E">
      <w:t>CORRESPONDI</w:t>
    </w:r>
    <w:r w:rsidR="00DD018C">
      <w:t>E</w:t>
    </w:r>
    <w:r w:rsidRPr="00A4610E">
      <w:t xml:space="preserve">NTES AL </w:t>
    </w:r>
    <w:r w:rsidR="00B44D40">
      <w:t>SEGUNDO</w:t>
    </w:r>
    <w:r w:rsidR="00C55AB0">
      <w:t xml:space="preserve"> TRIMESTRE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95B72"/>
    <w:rsid w:val="003453CA"/>
    <w:rsid w:val="00352C7C"/>
    <w:rsid w:val="00396D53"/>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C5511"/>
    <w:rsid w:val="008E076C"/>
    <w:rsid w:val="0092765C"/>
    <w:rsid w:val="00967DDA"/>
    <w:rsid w:val="009736CB"/>
    <w:rsid w:val="00A4610E"/>
    <w:rsid w:val="00A6346D"/>
    <w:rsid w:val="00A730E0"/>
    <w:rsid w:val="00AA2768"/>
    <w:rsid w:val="00AA41E5"/>
    <w:rsid w:val="00AB722B"/>
    <w:rsid w:val="00AE1F6A"/>
    <w:rsid w:val="00AF4375"/>
    <w:rsid w:val="00AF53FC"/>
    <w:rsid w:val="00B073DE"/>
    <w:rsid w:val="00B44D40"/>
    <w:rsid w:val="00B6368B"/>
    <w:rsid w:val="00BA53FE"/>
    <w:rsid w:val="00BE02EB"/>
    <w:rsid w:val="00C4250B"/>
    <w:rsid w:val="00C4625D"/>
    <w:rsid w:val="00C54C12"/>
    <w:rsid w:val="00C55AB0"/>
    <w:rsid w:val="00C93C67"/>
    <w:rsid w:val="00C97E1E"/>
    <w:rsid w:val="00CB41C4"/>
    <w:rsid w:val="00CF1316"/>
    <w:rsid w:val="00D13C44"/>
    <w:rsid w:val="00D32331"/>
    <w:rsid w:val="00D40FC2"/>
    <w:rsid w:val="00D418B2"/>
    <w:rsid w:val="00D5018E"/>
    <w:rsid w:val="00D546B2"/>
    <w:rsid w:val="00D975B1"/>
    <w:rsid w:val="00DD018C"/>
    <w:rsid w:val="00E00323"/>
    <w:rsid w:val="00E11758"/>
    <w:rsid w:val="00E74967"/>
    <w:rsid w:val="00E7559F"/>
    <w:rsid w:val="00E85520"/>
    <w:rsid w:val="00E9132F"/>
    <w:rsid w:val="00EA37F5"/>
    <w:rsid w:val="00EA791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6aa8a68a-ab09-4ac8-a697-fdce915bc567"/>
    <ds:schemaRef ds:uri="http://schemas.microsoft.com/office/infopath/2007/PartnerControls"/>
    <ds:schemaRef ds:uri="0c865bf4-0f22-4e4d-b041-7b0c1657e5a8"/>
    <ds:schemaRef ds:uri="http://purl.org/dc/term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86340-881A-4FE7-89C4-34C6E1B9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12</Pages>
  <Words>3400</Words>
  <Characters>18702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22058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8</cp:revision>
  <cp:lastPrinted>2024-07-19T20:56:00Z</cp:lastPrinted>
  <dcterms:created xsi:type="dcterms:W3CDTF">2024-04-23T00:47:00Z</dcterms:created>
  <dcterms:modified xsi:type="dcterms:W3CDTF">2024-07-19T21:58:00Z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