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2020</w:t>
      </w:r>
    </w:p>
    <w:tbl>
      <w:tblPr>
        <w:tblW w:w="0" w:type="auto"/>
        <w:tblInd w:w="5"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2399"/>
        <w:gridCol w:w="2137"/>
        <w:gridCol w:w="142"/>
        <w:gridCol w:w="2410"/>
        <w:gridCol w:w="3974"/>
      </w:tblGrid>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2711E">
        <w:tc>
          <w:tcPr>
            <w:tcW w:w="4536"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2711E">
        <w:tc>
          <w:tcPr>
            <w:tcW w:w="4536" w:type="dxa"/>
            <w:gridSpan w:val="2"/>
            <w:shd w:val="clear" w:color="auto" w:fill="EAEAEA"/>
            <w:vAlign w:val="center"/>
            <w:hideMark/>
          </w:tcPr>
          <w:p w:rsidR="003C1B32" w:rsidRPr="00537B88" w:rsidRDefault="00B2711E">
            <w:pPr>
              <w:spacing w:after="0" w:line="240" w:lineRule="auto"/>
              <w:jc w:val="both"/>
              <w:rPr>
                <w:rFonts w:ascii="Arial" w:eastAsia="Times New Roman" w:hAnsi="Arial" w:cs="Arial"/>
                <w:lang w:eastAsia="es-MX"/>
              </w:rPr>
            </w:pPr>
            <w:r>
              <w:rPr>
                <w:rFonts w:ascii="Arial" w:eastAsia="Times New Roman" w:hAnsi="Arial" w:cs="Arial"/>
                <w:lang w:eastAsia="es-MX"/>
              </w:rPr>
              <w:t>Supervisión de obras de todos los giros</w:t>
            </w:r>
          </w:p>
        </w:tc>
        <w:tc>
          <w:tcPr>
            <w:tcW w:w="2552" w:type="dxa"/>
            <w:gridSpan w:val="2"/>
            <w:shd w:val="clear" w:color="auto" w:fill="EAEAEA"/>
            <w:vAlign w:val="center"/>
            <w:hideMark/>
          </w:tcPr>
          <w:p w:rsidR="003C1B32" w:rsidRPr="00537B88" w:rsidRDefault="00782823" w:rsidP="00DC0B91">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F644C0">
              <w:rPr>
                <w:rFonts w:ascii="Arial" w:eastAsia="Times New Roman" w:hAnsi="Arial" w:cs="Arial"/>
                <w:color w:val="000000"/>
                <w:lang w:eastAsia="es-MX"/>
              </w:rPr>
              <w:t>S</w:t>
            </w:r>
            <w:r w:rsidRPr="00537B88">
              <w:rPr>
                <w:rFonts w:ascii="Arial" w:eastAsia="Times New Roman" w:hAnsi="Arial" w:cs="Arial"/>
                <w:color w:val="000000"/>
                <w:lang w:eastAsia="es-MX"/>
              </w:rPr>
              <w:t>0</w:t>
            </w:r>
            <w:r w:rsidR="00DC0B91">
              <w:rPr>
                <w:rFonts w:ascii="Arial" w:eastAsia="Times New Roman" w:hAnsi="Arial" w:cs="Arial"/>
                <w:color w:val="000000"/>
                <w:lang w:eastAsia="es-MX"/>
              </w:rPr>
              <w:t>33</w:t>
            </w:r>
            <w:r w:rsidRPr="00537B88">
              <w:rPr>
                <w:rFonts w:ascii="Arial" w:eastAsia="Times New Roman" w:hAnsi="Arial" w:cs="Arial"/>
                <w:color w:val="000000"/>
                <w:lang w:eastAsia="es-MX"/>
              </w:rPr>
              <w:t>/2020</w:t>
            </w:r>
          </w:p>
        </w:tc>
        <w:tc>
          <w:tcPr>
            <w:tcW w:w="3974" w:type="dxa"/>
            <w:shd w:val="clear" w:color="auto" w:fill="EAEAEA"/>
            <w:vAlign w:val="center"/>
            <w:hideMark/>
          </w:tcPr>
          <w:p w:rsidR="003C1B32" w:rsidRPr="00537B88" w:rsidRDefault="00782823">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01/01/2020</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Supervisar las obras de agua potable, alcantarillado y agua pluvial, este derecho cubre el periodo que se contemple en el programa de obra autorizado.</w:t>
            </w:r>
          </w:p>
        </w:tc>
      </w:tr>
      <w:tr w:rsidR="003C1B32" w:rsidRPr="00537B88" w:rsidTr="00B2711E">
        <w:tc>
          <w:tcPr>
            <w:tcW w:w="11062" w:type="dxa"/>
            <w:gridSpan w:val="5"/>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Fraccionadores y/o desarrolladores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279"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410"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B2711E">
        <w:tc>
          <w:tcPr>
            <w:tcW w:w="2399" w:type="dxa"/>
            <w:shd w:val="clear" w:color="auto" w:fill="EAEAEA"/>
            <w:vAlign w:val="center"/>
          </w:tcPr>
          <w:p w:rsidR="003C1B32" w:rsidRPr="00537B88" w:rsidRDefault="003C1B32">
            <w:pPr>
              <w:spacing w:after="0" w:line="240" w:lineRule="auto"/>
              <w:jc w:val="both"/>
              <w:rPr>
                <w:rFonts w:ascii="Arial" w:eastAsia="Times New Roman" w:hAnsi="Arial" w:cs="Arial"/>
                <w:color w:val="000000"/>
                <w:lang w:eastAsia="es-MX"/>
              </w:rPr>
            </w:pPr>
          </w:p>
        </w:tc>
        <w:tc>
          <w:tcPr>
            <w:tcW w:w="2279" w:type="dxa"/>
            <w:gridSpan w:val="2"/>
            <w:shd w:val="clear" w:color="auto" w:fill="EAEAEA"/>
            <w:vAlign w:val="center"/>
          </w:tcPr>
          <w:p w:rsidR="00B2711E" w:rsidRPr="000A0636" w:rsidRDefault="00C6697C" w:rsidP="00C6697C">
            <w:pPr>
              <w:spacing w:after="0" w:line="240" w:lineRule="auto"/>
              <w:jc w:val="center"/>
              <w:rPr>
                <w:rFonts w:ascii="Arial" w:eastAsia="Times New Roman" w:hAnsi="Arial" w:cs="Arial"/>
                <w:color w:val="000000"/>
                <w:highlight w:val="yellow"/>
                <w:lang w:eastAsia="es-MX"/>
              </w:rPr>
            </w:pPr>
            <w:r>
              <w:rPr>
                <w:rFonts w:ascii="Arial" w:eastAsia="Times New Roman" w:hAnsi="Arial" w:cs="Arial"/>
                <w:color w:val="000000"/>
                <w:lang w:eastAsia="es-MX"/>
              </w:rPr>
              <w:t xml:space="preserve">     </w:t>
            </w:r>
          </w:p>
          <w:p w:rsidR="003C1B32" w:rsidRPr="00537B88" w:rsidRDefault="00B2711E" w:rsidP="00B2711E">
            <w:pPr>
              <w:jc w:val="center"/>
              <w:rPr>
                <w:rFonts w:ascii="Arial" w:eastAsia="Times New Roman" w:hAnsi="Arial" w:cs="Arial"/>
                <w:color w:val="000000"/>
                <w:lang w:eastAsia="es-MX"/>
              </w:rPr>
            </w:pPr>
            <w:r>
              <w:rPr>
                <w:rFonts w:ascii="Calibri" w:hAnsi="Calibri"/>
                <w:sz w:val="20"/>
                <w:szCs w:val="20"/>
              </w:rPr>
              <w:t>2.0 % del importe total de las obras a ejecutar.</w:t>
            </w:r>
          </w:p>
        </w:tc>
        <w:tc>
          <w:tcPr>
            <w:tcW w:w="2410" w:type="dxa"/>
            <w:shd w:val="clear" w:color="auto" w:fill="EAEAEA"/>
            <w:vAlign w:val="center"/>
          </w:tcPr>
          <w:p w:rsidR="003C1B32" w:rsidRPr="00537B88" w:rsidRDefault="003C1B32">
            <w:pPr>
              <w:spacing w:after="0" w:line="240" w:lineRule="auto"/>
              <w:jc w:val="center"/>
              <w:rPr>
                <w:rFonts w:ascii="Arial" w:eastAsia="Times New Roman" w:hAnsi="Arial" w:cs="Arial"/>
                <w:color w:val="000000"/>
                <w:lang w:eastAsia="es-MX"/>
              </w:rPr>
            </w:pPr>
          </w:p>
        </w:tc>
        <w:tc>
          <w:tcPr>
            <w:tcW w:w="3974" w:type="dxa"/>
            <w:shd w:val="clear" w:color="auto" w:fill="EAEAEA"/>
            <w:vAlign w:val="center"/>
          </w:tcPr>
          <w:p w:rsidR="003C1B32" w:rsidRPr="00537B88" w:rsidRDefault="00B2711E" w:rsidP="00B2711E">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2711E">
        <w:tc>
          <w:tcPr>
            <w:tcW w:w="11062" w:type="dxa"/>
            <w:gridSpan w:val="5"/>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 91 00 ext. 160 y 186.</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2711E">
        <w:tc>
          <w:tcPr>
            <w:tcW w:w="2399"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2711E">
        <w:trPr>
          <w:trHeight w:val="78"/>
        </w:trPr>
        <w:tc>
          <w:tcPr>
            <w:tcW w:w="2399"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2711E">
        <w:trPr>
          <w:trHeight w:val="75"/>
        </w:trPr>
        <w:tc>
          <w:tcPr>
            <w:tcW w:w="11062" w:type="dxa"/>
            <w:gridSpan w:val="5"/>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p>
        </w:tc>
      </w:tr>
      <w:tr w:rsidR="00B3695A" w:rsidRPr="00537B88" w:rsidTr="00B2711E">
        <w:tc>
          <w:tcPr>
            <w:tcW w:w="4536" w:type="dxa"/>
            <w:gridSpan w:val="2"/>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3"/>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2711E">
        <w:trPr>
          <w:trHeight w:val="78"/>
        </w:trPr>
        <w:tc>
          <w:tcPr>
            <w:tcW w:w="4536" w:type="dxa"/>
            <w:gridSpan w:val="2"/>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 xml:space="preserve">1. Realizar pago </w:t>
            </w:r>
          </w:p>
        </w:tc>
        <w:tc>
          <w:tcPr>
            <w:tcW w:w="2552" w:type="dxa"/>
            <w:gridSpan w:val="2"/>
            <w:shd w:val="clear" w:color="auto" w:fill="EAEAEA"/>
            <w:vAlign w:val="center"/>
          </w:tcPr>
          <w:p w:rsidR="003C1B32" w:rsidRPr="0016009E" w:rsidRDefault="007A248E" w:rsidP="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0</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0</w:t>
            </w:r>
          </w:p>
        </w:tc>
      </w:tr>
      <w:tr w:rsidR="00A36D2A" w:rsidRPr="00537B88" w:rsidTr="00B2711E">
        <w:tc>
          <w:tcPr>
            <w:tcW w:w="4536" w:type="dxa"/>
            <w:gridSpan w:val="2"/>
            <w:shd w:val="clear" w:color="auto" w:fill="EAEAEA"/>
            <w:vAlign w:val="center"/>
          </w:tcPr>
          <w:p w:rsidR="003C1B32" w:rsidRPr="0016009E" w:rsidRDefault="007A248E" w:rsidP="00A36D2A">
            <w:pPr>
              <w:tabs>
                <w:tab w:val="left" w:pos="4026"/>
              </w:tabs>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2.</w:t>
            </w:r>
            <w:r w:rsidR="00A36D2A" w:rsidRPr="0016009E">
              <w:rPr>
                <w:rFonts w:ascii="Arial" w:eastAsia="Times New Roman" w:hAnsi="Arial" w:cs="Arial"/>
                <w:color w:val="000000"/>
                <w:lang w:eastAsia="es-MX"/>
              </w:rPr>
              <w:t xml:space="preserve"> </w:t>
            </w:r>
            <w:r w:rsidRPr="0016009E">
              <w:rPr>
                <w:rFonts w:ascii="Arial" w:eastAsia="Times New Roman" w:hAnsi="Arial" w:cs="Arial"/>
                <w:color w:val="000000"/>
                <w:lang w:eastAsia="es-MX"/>
              </w:rPr>
              <w:t xml:space="preserve">Predial, escritura o contrato de compraventa notariado.   </w:t>
            </w:r>
          </w:p>
        </w:tc>
        <w:tc>
          <w:tcPr>
            <w:tcW w:w="2552" w:type="dxa"/>
            <w:gridSpan w:val="2"/>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c>
          <w:tcPr>
            <w:tcW w:w="3974" w:type="dxa"/>
            <w:shd w:val="clear" w:color="auto" w:fill="EAEAEA"/>
            <w:vAlign w:val="center"/>
          </w:tcPr>
          <w:p w:rsidR="003C1B32" w:rsidRPr="0016009E" w:rsidRDefault="007A248E">
            <w:pPr>
              <w:spacing w:after="0" w:line="240" w:lineRule="auto"/>
              <w:jc w:val="center"/>
              <w:rPr>
                <w:rFonts w:ascii="Arial" w:eastAsia="Times New Roman" w:hAnsi="Arial" w:cs="Arial"/>
                <w:color w:val="000000"/>
                <w:lang w:eastAsia="es-MX"/>
              </w:rPr>
            </w:pPr>
            <w:r w:rsidRPr="0016009E">
              <w:rPr>
                <w:rFonts w:ascii="Arial" w:eastAsia="Times New Roman" w:hAnsi="Arial" w:cs="Arial"/>
                <w:color w:val="000000"/>
                <w:lang w:eastAsia="es-MX"/>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3. Identificación oficial vigente del titular.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A36D2A">
            <w:pPr>
              <w:spacing w:after="0" w:line="240" w:lineRule="auto"/>
              <w:rPr>
                <w:rFonts w:ascii="Arial" w:eastAsia="Times New Roman" w:hAnsi="Arial" w:cs="Arial"/>
                <w:color w:val="000000"/>
                <w:lang w:eastAsia="es-MX"/>
              </w:rPr>
            </w:pPr>
            <w:r w:rsidRPr="0016009E">
              <w:rPr>
                <w:rFonts w:ascii="Arial" w:eastAsia="Times New Roman" w:hAnsi="Arial" w:cs="Arial"/>
                <w:color w:val="000000"/>
                <w:lang w:eastAsia="es-MX"/>
              </w:rPr>
              <w:t>4. En caso de no acudir el titular anexar carta poder.</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A36D2A" w:rsidRPr="00537B88" w:rsidTr="00B2711E">
        <w:tc>
          <w:tcPr>
            <w:tcW w:w="4536" w:type="dxa"/>
            <w:gridSpan w:val="2"/>
            <w:shd w:val="clear" w:color="auto" w:fill="EAEAEA"/>
            <w:vAlign w:val="center"/>
          </w:tcPr>
          <w:p w:rsidR="003C1B32" w:rsidRPr="0016009E" w:rsidRDefault="007A248E" w:rsidP="007A248E">
            <w:pPr>
              <w:spacing w:after="0" w:line="240" w:lineRule="auto"/>
              <w:jc w:val="both"/>
              <w:rPr>
                <w:rFonts w:ascii="Arial" w:eastAsia="Times New Roman" w:hAnsi="Arial" w:cs="Arial"/>
                <w:color w:val="000000"/>
                <w:lang w:eastAsia="es-MX"/>
              </w:rPr>
            </w:pPr>
            <w:r w:rsidRPr="0016009E">
              <w:rPr>
                <w:rFonts w:ascii="Arial" w:eastAsia="Times New Roman" w:hAnsi="Arial" w:cs="Arial"/>
                <w:color w:val="000000"/>
                <w:lang w:eastAsia="es-MX"/>
              </w:rPr>
              <w:t xml:space="preserve">5. Identificación oficial vigente del </w:t>
            </w:r>
            <w:proofErr w:type="spellStart"/>
            <w:r w:rsidRPr="0016009E">
              <w:rPr>
                <w:rFonts w:ascii="Arial" w:eastAsia="Times New Roman" w:hAnsi="Arial" w:cs="Arial"/>
                <w:color w:val="000000"/>
                <w:lang w:eastAsia="es-MX"/>
              </w:rPr>
              <w:t>tramitante</w:t>
            </w:r>
            <w:proofErr w:type="spellEnd"/>
            <w:r w:rsidRPr="0016009E">
              <w:rPr>
                <w:rFonts w:ascii="Arial" w:eastAsia="Times New Roman" w:hAnsi="Arial" w:cs="Arial"/>
                <w:color w:val="000000"/>
                <w:lang w:eastAsia="es-MX"/>
              </w:rPr>
              <w:t>.</w:t>
            </w:r>
          </w:p>
        </w:tc>
        <w:tc>
          <w:tcPr>
            <w:tcW w:w="2552" w:type="dxa"/>
            <w:gridSpan w:val="2"/>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c>
          <w:tcPr>
            <w:tcW w:w="3974" w:type="dxa"/>
            <w:shd w:val="clear" w:color="auto" w:fill="EAEAEA"/>
            <w:vAlign w:val="center"/>
          </w:tcPr>
          <w:p w:rsidR="003C1B32" w:rsidRPr="0016009E" w:rsidRDefault="007A248E">
            <w:pPr>
              <w:spacing w:after="0" w:line="240" w:lineRule="auto"/>
              <w:jc w:val="center"/>
              <w:rPr>
                <w:rFonts w:ascii="Arial" w:hAnsi="Arial" w:cs="Arial"/>
              </w:rPr>
            </w:pPr>
            <w:r w:rsidRPr="0016009E">
              <w:rPr>
                <w:rFonts w:ascii="Arial" w:hAnsi="Arial" w:cs="Arial"/>
              </w:rPr>
              <w:t>1</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Observaciones</w:t>
            </w:r>
          </w:p>
        </w:tc>
      </w:tr>
      <w:tr w:rsidR="003C1B32" w:rsidRPr="00537B88" w:rsidTr="00B2711E">
        <w:tc>
          <w:tcPr>
            <w:tcW w:w="11062" w:type="dxa"/>
            <w:gridSpan w:val="5"/>
            <w:shd w:val="clear" w:color="auto" w:fill="EAEAEA"/>
            <w:vAlign w:val="center"/>
            <w:hideMark/>
          </w:tcPr>
          <w:p w:rsidR="00FA2275" w:rsidRPr="00B2711E" w:rsidRDefault="00B2711E" w:rsidP="00B2711E">
            <w:pPr>
              <w:jc w:val="both"/>
              <w:rPr>
                <w:rFonts w:ascii="Arial" w:hAnsi="Arial" w:cs="Arial"/>
              </w:rPr>
            </w:pPr>
            <w:r w:rsidRPr="00B2711E">
              <w:rPr>
                <w:rFonts w:ascii="Arial" w:hAnsi="Arial" w:cs="Arial"/>
              </w:rPr>
              <w:t>Se cobrará a razón del 2.0 % del importe total de las obras a ejecutar relativas a agua potable, alcantarillado y agua pluvial, y ante la falta de presupuestos se cobrará a razón del 2.5% sobre el importe total de los derechos de incorporación, contabilizados estos antes de bonificaciones.  Este derecho cubre el periodo que se contemple en el programa de obra autorizado, si en este periodo no termina las obras contempladas, entonces se autorizará un nuevo plazo previo pago o convenio de los derechos de supervisión por las obras faltantes</w:t>
            </w:r>
            <w:r>
              <w:rPr>
                <w:rFonts w:ascii="Arial" w:hAnsi="Arial" w:cs="Arial"/>
              </w:rPr>
              <w:t>.</w:t>
            </w:r>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2711E">
        <w:trPr>
          <w:trHeight w:val="263"/>
        </w:trPr>
        <w:tc>
          <w:tcPr>
            <w:tcW w:w="11062" w:type="dxa"/>
            <w:gridSpan w:val="5"/>
            <w:shd w:val="clear" w:color="auto" w:fill="EAEAEA"/>
            <w:vAlign w:val="center"/>
            <w:hideMark/>
          </w:tcPr>
          <w:p w:rsidR="00A36D2A" w:rsidRPr="00DC0B91" w:rsidRDefault="00FA2275">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r w:rsidRPr="00DC0B91">
              <w:rPr>
                <w:rFonts w:ascii="Arial" w:eastAsia="Times New Roman" w:hAnsi="Arial" w:cs="Arial"/>
                <w:lang w:eastAsia="es-MX"/>
              </w:rPr>
              <w:t>Ley de Ingresos para el Municipio de Irapuato, Guanajuato, para el Ejercicio Fiscal del año 2020</w:t>
            </w:r>
            <w:r w:rsidR="00A36D2A" w:rsidRPr="00DC0B91">
              <w:rPr>
                <w:rFonts w:ascii="Arial" w:eastAsia="Times New Roman" w:hAnsi="Arial" w:cs="Arial"/>
                <w:lang w:eastAsia="es-MX"/>
              </w:rPr>
              <w:t xml:space="preserve">, Artículo 14, fracción </w:t>
            </w:r>
            <w:r w:rsidR="00B2711E" w:rsidRPr="00DC0B91">
              <w:rPr>
                <w:rFonts w:ascii="Arial" w:eastAsia="Times New Roman" w:hAnsi="Arial" w:cs="Arial"/>
                <w:lang w:eastAsia="es-MX"/>
              </w:rPr>
              <w:t>XIII</w:t>
            </w:r>
            <w:r w:rsidR="00A36D2A" w:rsidRPr="00DC0B91">
              <w:rPr>
                <w:rFonts w:ascii="Arial" w:eastAsia="Times New Roman" w:hAnsi="Arial" w:cs="Arial"/>
                <w:lang w:eastAsia="es-MX"/>
              </w:rPr>
              <w:t xml:space="preserve"> inciso </w:t>
            </w:r>
            <w:r w:rsidR="00B2711E" w:rsidRPr="00DC0B91">
              <w:rPr>
                <w:rFonts w:ascii="Arial" w:eastAsia="Times New Roman" w:hAnsi="Arial" w:cs="Arial"/>
                <w:lang w:eastAsia="es-MX"/>
              </w:rPr>
              <w:t>e</w:t>
            </w:r>
            <w:r w:rsidR="00A36D2A" w:rsidRPr="00DC0B91">
              <w:rPr>
                <w:rFonts w:ascii="Arial" w:eastAsia="Times New Roman" w:hAnsi="Arial" w:cs="Arial"/>
                <w:lang w:eastAsia="es-MX"/>
              </w:rPr>
              <w:t>).</w:t>
            </w:r>
          </w:p>
          <w:p w:rsidR="00FA2275" w:rsidRPr="00537B88" w:rsidRDefault="00DC0B91" w:rsidP="00C4051F">
            <w:pPr>
              <w:jc w:val="both"/>
              <w:rPr>
                <w:rFonts w:ascii="Arial" w:eastAsia="Times New Roman" w:hAnsi="Arial" w:cs="Arial"/>
                <w:lang w:eastAsia="es-MX"/>
              </w:rPr>
            </w:pPr>
            <w:hyperlink r:id="rId9" w:history="1">
              <w:r w:rsidR="00C4051F" w:rsidRPr="00DC0B91">
                <w:rPr>
                  <w:rStyle w:val="Hipervnculo"/>
                  <w:rFonts w:ascii="Arial" w:hAnsi="Arial" w:cs="Arial"/>
                </w:rPr>
                <w:t>http://www.japami.gob.mx/transparencia/LGT/01_Leyes_Reglamentos/2019/SOPORTE/LeyIngresosMunicipio2020.pdf</w:t>
              </w:r>
            </w:hyperlink>
          </w:p>
        </w:tc>
      </w:tr>
      <w:tr w:rsidR="003C1B32" w:rsidRPr="00537B88" w:rsidTr="00B2711E">
        <w:tc>
          <w:tcPr>
            <w:tcW w:w="11062" w:type="dxa"/>
            <w:gridSpan w:val="5"/>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Reglamentarios</w:t>
            </w:r>
          </w:p>
        </w:tc>
      </w:tr>
      <w:tr w:rsidR="003C1B32" w:rsidRPr="00537B88" w:rsidTr="00B2711E">
        <w:tc>
          <w:tcPr>
            <w:tcW w:w="11062" w:type="dxa"/>
            <w:gridSpan w:val="5"/>
            <w:shd w:val="clear" w:color="auto" w:fill="EAEAEA"/>
            <w:vAlign w:val="center"/>
            <w:hideMark/>
          </w:tcPr>
          <w:p w:rsidR="003C1B32" w:rsidRPr="00537B88" w:rsidRDefault="00B2711E">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bookmarkStart w:id="0" w:name="_GoBack"/>
      <w:bookmarkEnd w:id="0"/>
    </w:p>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02" w:rsidRDefault="00B72402" w:rsidP="00FC4368">
      <w:pPr>
        <w:spacing w:after="0" w:line="240" w:lineRule="auto"/>
      </w:pPr>
      <w:r>
        <w:separator/>
      </w:r>
    </w:p>
  </w:endnote>
  <w:endnote w:type="continuationSeparator" w:id="0">
    <w:p w:rsidR="00B72402" w:rsidRDefault="00B72402"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02" w:rsidRDefault="00B72402" w:rsidP="00FC4368">
      <w:pPr>
        <w:spacing w:after="0" w:line="240" w:lineRule="auto"/>
      </w:pPr>
      <w:r>
        <w:separator/>
      </w:r>
    </w:p>
  </w:footnote>
  <w:footnote w:type="continuationSeparator" w:id="0">
    <w:p w:rsidR="00B72402" w:rsidRDefault="00B72402"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A0636"/>
    <w:rsid w:val="000B1986"/>
    <w:rsid w:val="001168A2"/>
    <w:rsid w:val="0016009E"/>
    <w:rsid w:val="00161E19"/>
    <w:rsid w:val="003203AD"/>
    <w:rsid w:val="003C1B32"/>
    <w:rsid w:val="003E4055"/>
    <w:rsid w:val="00537B88"/>
    <w:rsid w:val="005B69A2"/>
    <w:rsid w:val="005D3179"/>
    <w:rsid w:val="006B0878"/>
    <w:rsid w:val="00782823"/>
    <w:rsid w:val="007A248E"/>
    <w:rsid w:val="00936183"/>
    <w:rsid w:val="00A10FD9"/>
    <w:rsid w:val="00A36D2A"/>
    <w:rsid w:val="00B2711E"/>
    <w:rsid w:val="00B31054"/>
    <w:rsid w:val="00B3695A"/>
    <w:rsid w:val="00B72402"/>
    <w:rsid w:val="00C4051F"/>
    <w:rsid w:val="00C6697C"/>
    <w:rsid w:val="00C93792"/>
    <w:rsid w:val="00D2411F"/>
    <w:rsid w:val="00D80F11"/>
    <w:rsid w:val="00DA23EE"/>
    <w:rsid w:val="00DC0B91"/>
    <w:rsid w:val="00DE73DD"/>
    <w:rsid w:val="00F505BD"/>
    <w:rsid w:val="00F64218"/>
    <w:rsid w:val="00F644C0"/>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263074264">
      <w:bodyDiv w:val="1"/>
      <w:marLeft w:val="0"/>
      <w:marRight w:val="0"/>
      <w:marTop w:val="0"/>
      <w:marBottom w:val="0"/>
      <w:divBdr>
        <w:top w:val="none" w:sz="0" w:space="0" w:color="auto"/>
        <w:left w:val="none" w:sz="0" w:space="0" w:color="auto"/>
        <w:bottom w:val="none" w:sz="0" w:space="0" w:color="auto"/>
        <w:right w:val="none" w:sz="0" w:space="0" w:color="auto"/>
      </w:divBdr>
    </w:div>
    <w:div w:id="789470508">
      <w:bodyDiv w:val="1"/>
      <w:marLeft w:val="0"/>
      <w:marRight w:val="0"/>
      <w:marTop w:val="0"/>
      <w:marBottom w:val="0"/>
      <w:divBdr>
        <w:top w:val="none" w:sz="0" w:space="0" w:color="auto"/>
        <w:left w:val="none" w:sz="0" w:space="0" w:color="auto"/>
        <w:bottom w:val="none" w:sz="0" w:space="0" w:color="auto"/>
        <w:right w:val="none" w:sz="0" w:space="0" w:color="auto"/>
      </w:divBdr>
    </w:div>
    <w:div w:id="198962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apami.gob.mx/transparencia/LGT/01_Leyes_Reglamentos/2019/SOPORTE/LeyIngresosMunicipio20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04F07-F53A-4E14-A14E-86ECC64F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6</cp:revision>
  <cp:lastPrinted>2018-12-31T16:09:00Z</cp:lastPrinted>
  <dcterms:created xsi:type="dcterms:W3CDTF">2020-02-10T15:59:00Z</dcterms:created>
  <dcterms:modified xsi:type="dcterms:W3CDTF">2020-03-05T19:24:00Z</dcterms:modified>
</cp:coreProperties>
</file>